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ascii="宋体" w:hAnsi="宋体" w:eastAsia="宋体" w:cs="宋体"/>
          <w:i w:val="0"/>
          <w:caps w:val="0"/>
          <w:color w:val="333333"/>
          <w:spacing w:val="0"/>
          <w:sz w:val="44"/>
          <w:szCs w:val="44"/>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ascii="宋体" w:hAnsi="宋体" w:eastAsia="宋体" w:cs="宋体"/>
          <w:i w:val="0"/>
          <w:caps w:val="0"/>
          <w:color w:val="333333"/>
          <w:spacing w:val="0"/>
          <w:sz w:val="44"/>
          <w:szCs w:val="44"/>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caps w:val="0"/>
          <w:color w:val="auto"/>
          <w:spacing w:val="0"/>
          <w:sz w:val="44"/>
          <w:szCs w:val="44"/>
          <w:shd w:val="clear" w:fill="FFFFFF"/>
          <w:lang w:val="en-US" w:eastAsia="zh-CN"/>
        </w:rPr>
      </w:pPr>
      <w:r>
        <w:rPr>
          <w:rFonts w:hint="eastAsia" w:asciiTheme="minorEastAsia" w:hAnsiTheme="minorEastAsia" w:eastAsiaTheme="minorEastAsia" w:cstheme="minorEastAsia"/>
          <w:i w:val="0"/>
          <w:caps w:val="0"/>
          <w:color w:val="auto"/>
          <w:spacing w:val="0"/>
          <w:sz w:val="44"/>
          <w:szCs w:val="44"/>
          <w:shd w:val="clear" w:fill="FFFFFF"/>
          <w:lang w:val="en-US" w:eastAsia="zh-CN"/>
        </w:rPr>
        <w:t>关</w:t>
      </w:r>
      <w:r>
        <w:rPr>
          <w:rFonts w:hint="eastAsia" w:asciiTheme="minorEastAsia" w:hAnsiTheme="minorEastAsia" w:eastAsiaTheme="minorEastAsia" w:cstheme="minorEastAsia"/>
          <w:i w:val="0"/>
          <w:caps w:val="0"/>
          <w:color w:val="auto"/>
          <w:spacing w:val="0"/>
          <w:sz w:val="44"/>
          <w:szCs w:val="44"/>
          <w:shd w:val="clear" w:fill="FFFFFF"/>
          <w:lang w:val="en-US" w:eastAsia="zh-CN"/>
        </w:rPr>
        <w:t>于印发《云南省欺诈骗取医疗保障</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caps w:val="0"/>
          <w:color w:val="auto"/>
          <w:spacing w:val="0"/>
          <w:sz w:val="44"/>
          <w:szCs w:val="44"/>
          <w:shd w:val="clear" w:fill="FFFFFF"/>
          <w:lang w:val="en-US" w:eastAsia="zh-CN"/>
        </w:rPr>
      </w:pPr>
      <w:r>
        <w:rPr>
          <w:rFonts w:hint="eastAsia" w:asciiTheme="minorEastAsia" w:hAnsiTheme="minorEastAsia" w:eastAsiaTheme="minorEastAsia" w:cstheme="minorEastAsia"/>
          <w:i w:val="0"/>
          <w:caps w:val="0"/>
          <w:color w:val="auto"/>
          <w:spacing w:val="0"/>
          <w:sz w:val="44"/>
          <w:szCs w:val="44"/>
          <w:shd w:val="clear" w:fill="FFFFFF"/>
          <w:lang w:val="en-US" w:eastAsia="zh-CN"/>
        </w:rPr>
        <w:t>基金行为举报奖励实施细则（试行）》的通知</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楷体_GB2312" w:hAnsi="楷体_GB2312" w:eastAsia="楷体_GB2312" w:cs="楷体_GB2312"/>
          <w:i w:val="0"/>
          <w:caps w:val="0"/>
          <w:color w:val="333333"/>
          <w:spacing w:val="0"/>
          <w:sz w:val="32"/>
          <w:szCs w:val="32"/>
          <w:shd w:val="clear" w:fill="FFFFFF"/>
          <w:lang w:val="en-US" w:eastAsia="zh-CN"/>
        </w:rPr>
      </w:pPr>
      <w:r>
        <w:rPr>
          <w:rFonts w:hint="default" w:ascii="楷体_GB2312" w:hAnsi="楷体_GB2312" w:eastAsia="楷体_GB2312" w:cs="楷体_GB2312"/>
          <w:i w:val="0"/>
          <w:caps w:val="0"/>
          <w:color w:val="333333"/>
          <w:spacing w:val="0"/>
          <w:sz w:val="32"/>
          <w:szCs w:val="32"/>
          <w:shd w:val="clear" w:fill="FFFFFF"/>
          <w:lang w:val="en-US" w:eastAsia="zh-CN"/>
        </w:rPr>
        <w:t>云医保〔2019〕45号</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各州市医疗保障局、财政局：</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为切实保障医疗保障基金安全，鼓励社会各界举报欺诈骗取医疗保障基金行为，加大对欺诈骗保行为的打击力度，云南省医疗保障局、云南省财政厅制定了《云南省欺诈骗取医疗保障基金行为举报奖励实施细则（试行）》，现印发给你们，请结合实际贯彻执行。</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附件：云南省欺诈骗取医疗保障基金行为举报奖励实施</w:t>
      </w:r>
    </w:p>
    <w:p>
      <w:pPr>
        <w:keepNext w:val="0"/>
        <w:keepLines w:val="0"/>
        <w:pageBreakBefore w:val="0"/>
        <w:widowControl w:val="0"/>
        <w:kinsoku/>
        <w:wordWrap/>
        <w:overflowPunct/>
        <w:topLinePunct w:val="0"/>
        <w:autoSpaceDE/>
        <w:autoSpaceDN/>
        <w:bidi w:val="0"/>
        <w:adjustRightInd/>
        <w:snapToGrid/>
        <w:ind w:firstLine="1600" w:firstLineChars="5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细则（试行）</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p>
    <w:p>
      <w:pPr>
        <w:pStyle w:val="2"/>
        <w:rPr>
          <w:rFonts w:hint="default"/>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 xml:space="preserve">    云南省医疗保障局               云南省财政厅</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 xml:space="preserve">                         2019年4月26日</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i w:val="0"/>
          <w:caps w:val="0"/>
          <w:color w:val="333333"/>
          <w:spacing w:val="0"/>
          <w:sz w:val="44"/>
          <w:szCs w:val="44"/>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i w:val="0"/>
          <w:caps w:val="0"/>
          <w:color w:val="333333"/>
          <w:spacing w:val="0"/>
          <w:sz w:val="44"/>
          <w:szCs w:val="44"/>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caps w:val="0"/>
          <w:color w:val="auto"/>
          <w:spacing w:val="0"/>
          <w:sz w:val="44"/>
          <w:szCs w:val="44"/>
          <w:shd w:val="clear" w:fill="FFFFFF"/>
          <w:lang w:val="en-US" w:eastAsia="zh-CN"/>
        </w:rPr>
      </w:pPr>
      <w:bookmarkStart w:id="0" w:name="_GoBack"/>
      <w:r>
        <w:rPr>
          <w:rFonts w:hint="eastAsia" w:asciiTheme="minorEastAsia" w:hAnsiTheme="minorEastAsia" w:eastAsiaTheme="minorEastAsia" w:cstheme="minorEastAsia"/>
          <w:i w:val="0"/>
          <w:caps w:val="0"/>
          <w:color w:val="auto"/>
          <w:spacing w:val="0"/>
          <w:sz w:val="44"/>
          <w:szCs w:val="44"/>
          <w:shd w:val="clear" w:fill="FFFFFF"/>
          <w:lang w:val="en-US" w:eastAsia="zh-CN"/>
        </w:rPr>
        <w:t>云南省欺诈骗取医疗保障基金行为举报</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caps w:val="0"/>
          <w:color w:val="auto"/>
          <w:spacing w:val="0"/>
          <w:sz w:val="44"/>
          <w:szCs w:val="44"/>
          <w:shd w:val="clear" w:fill="FFFFFF"/>
          <w:lang w:val="en-US" w:eastAsia="zh-CN"/>
        </w:rPr>
      </w:pPr>
      <w:r>
        <w:rPr>
          <w:rFonts w:hint="eastAsia" w:asciiTheme="minorEastAsia" w:hAnsiTheme="minorEastAsia" w:eastAsiaTheme="minorEastAsia" w:cstheme="minorEastAsia"/>
          <w:i w:val="0"/>
          <w:caps w:val="0"/>
          <w:color w:val="auto"/>
          <w:spacing w:val="0"/>
          <w:sz w:val="44"/>
          <w:szCs w:val="44"/>
          <w:shd w:val="clear" w:fill="FFFFFF"/>
          <w:lang w:val="en-US" w:eastAsia="zh-CN"/>
        </w:rPr>
        <w:t>奖励实施细则（试行）</w:t>
      </w:r>
    </w:p>
    <w:bookmarkEnd w:id="0"/>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第一章 总则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 xml:space="preserve">第一条 </w:t>
      </w:r>
      <w:r>
        <w:rPr>
          <w:rFonts w:hint="default" w:ascii="仿宋_GB2312" w:hAnsi="仿宋_GB2312" w:eastAsia="仿宋_GB2312" w:cs="仿宋_GB2312"/>
          <w:i w:val="0"/>
          <w:caps w:val="0"/>
          <w:color w:val="333333"/>
          <w:spacing w:val="0"/>
          <w:sz w:val="32"/>
          <w:szCs w:val="32"/>
          <w:shd w:val="clear" w:fill="FFFFFF"/>
          <w:lang w:val="en-US" w:eastAsia="zh-CN"/>
        </w:rPr>
        <w:t>为鼓励举报、严厉打击欺诈骗取医疗保障基金行为，切实保证医疗保障基金安全，根据《中华人民共和国社会保险法》等法律法规及《国家医保局办公室 财政部办公厅关于印发&lt;欺诈骗取医疗保障基金行为举报奖励暂行办法&gt;的通知》（医保办发〔2018〕22号），制定本细则。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第二条</w:t>
      </w:r>
      <w:r>
        <w:rPr>
          <w:rFonts w:hint="default" w:ascii="仿宋_GB2312" w:hAnsi="仿宋_GB2312" w:eastAsia="仿宋_GB2312" w:cs="仿宋_GB2312"/>
          <w:i w:val="0"/>
          <w:caps w:val="0"/>
          <w:color w:val="333333"/>
          <w:spacing w:val="0"/>
          <w:sz w:val="32"/>
          <w:szCs w:val="32"/>
          <w:shd w:val="clear" w:fill="FFFFFF"/>
          <w:lang w:val="en-US" w:eastAsia="zh-CN"/>
        </w:rPr>
        <w:t xml:space="preserve"> 本实施细则适用于云南省各级医疗保障部门对公民、法人或其他社会组织（以下简称举报人）举报医疗保障经办机构工作人员、定点医药机构及其工作人员、以及参保人员等涉嫌欺诈骗取医疗保障基金行为或提供相关线索，经查证属实，予以相应奖励的行为。举报人为医疗保障行政部门、监督管理机构、医保经办机构、大病保险承保商业保险公司、由医疗保障部门聘请的第三方监督机构及其工作人员不适用本细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本实施细则所称的医疗保障基金是指由医疗保障部门管理的城镇职工基本医疗保险、城镇职工大病保险、城乡居民基本医疗保险、城乡居民大病保险、医疗救助、生育保险和离休干部医疗统筹资金等专项基金。</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鼓励各级医疗保障部门聘请社会监督员对欺诈骗取医疗保障基金行为进行监督举报。</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第三条</w:t>
      </w:r>
      <w:r>
        <w:rPr>
          <w:rFonts w:hint="default" w:ascii="仿宋_GB2312" w:hAnsi="仿宋_GB2312" w:eastAsia="仿宋_GB2312" w:cs="仿宋_GB2312"/>
          <w:i w:val="0"/>
          <w:caps w:val="0"/>
          <w:color w:val="333333"/>
          <w:spacing w:val="0"/>
          <w:sz w:val="32"/>
          <w:szCs w:val="32"/>
          <w:shd w:val="clear" w:fill="FFFFFF"/>
          <w:lang w:val="en-US" w:eastAsia="zh-CN"/>
        </w:rPr>
        <w:t xml:space="preserve"> 统筹地区医疗保障部门负责涉及本统筹地区医疗保障基金欺诈骗保行为的举报奖励工作。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上级医疗保障部门受理的跨地区举报，由两个或以上统筹地区医疗保障部门分别调查处理的，相应统筹地区医疗保障部门分别就涉及本统筹区域内医疗保障基金的举报查实部分进行奖励。</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第四条</w:t>
      </w:r>
      <w:r>
        <w:rPr>
          <w:rFonts w:hint="default" w:ascii="仿宋_GB2312" w:hAnsi="仿宋_GB2312" w:eastAsia="仿宋_GB2312" w:cs="仿宋_GB2312"/>
          <w:i w:val="0"/>
          <w:caps w:val="0"/>
          <w:color w:val="333333"/>
          <w:spacing w:val="0"/>
          <w:sz w:val="32"/>
          <w:szCs w:val="32"/>
          <w:shd w:val="clear" w:fill="FFFFFF"/>
          <w:lang w:val="en-US" w:eastAsia="zh-CN"/>
        </w:rPr>
        <w:t xml:space="preserve"> 按照“分级管理、分级负担”的原则，各级医疗保障部门设立举报奖励资金，纳入同级财政预算，据实结算。医疗保障部门定期向本级财政部门提出奖励资金申请，财政部门审核同意后及时将资金拨付到医疗保障部门，医疗保障部门收到财政拨付的奖励资金后及时兑现到举报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第二章 奖励条件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第五条</w:t>
      </w:r>
      <w:r>
        <w:rPr>
          <w:rFonts w:hint="default" w:ascii="仿宋_GB2312" w:hAnsi="仿宋_GB2312" w:eastAsia="仿宋_GB2312" w:cs="仿宋_GB2312"/>
          <w:i w:val="0"/>
          <w:caps w:val="0"/>
          <w:color w:val="333333"/>
          <w:spacing w:val="0"/>
          <w:sz w:val="32"/>
          <w:szCs w:val="32"/>
          <w:shd w:val="clear" w:fill="FFFFFF"/>
          <w:lang w:val="en-US" w:eastAsia="zh-CN"/>
        </w:rPr>
        <w:t xml:space="preserve"> 本实施细则所称的欺诈骗取医疗保障基金行为主要包括：</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（一）涉及定点医疗机构及其工作人员的欺诈骗保行为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1．虚构医药服务，伪造医疗文书和票据等方式，骗取医疗保障基金的；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2．为参保人员提供虚假发票的；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3．将应由个人负担的医疗费用记入医疗保障基金支付范围的；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4．为不属于医疗保障范围的人员办理医疗保障待遇的；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5．为非定点医药机构提供刷卡记账服务的；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6．挂名住院的；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7．串换药品、耗材、物品、诊疗项目等骗取医疗保障基金支出的；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8．定点医疗机构及其工作人员的其他欺诈骗保行为。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（二）涉及定点零售药店及其工作人员的欺诈骗保行为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1．盗刷社会保障卡，为参保人员套取现金或购买营养保健品、化妆品、生活用品等非医疗物品的；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2．为参保人员串换药品、耗材、物品等骗取医疗保障基金支出的；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3．为非定点医药机构提供刷卡记账服务的；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4．为参保人员虚开发票、提供虚假发票的；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5．定点零售药店及其工作人员其他欺诈骗保行为。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（三）涉及参保人员的欺诈骗保行为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1．伪造虚假医疗服务票据，骗取医疗保障基金的；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2．将本人的社会保障卡转借他人就医或持他人医疗保障凭证冒名就医的；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3．非法使用社会保障卡，套取药品耗材等，倒买倒卖非法牟利的；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4．涉及参保人员的其他欺诈骗保行为。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（四）涉及医疗保障经办机构工作人员的欺诈骗保行为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1．为不属于医疗保障范围的人员办理医疗保障待遇手续的；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2．违反规定支付医疗保障费用的；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3．涉及经办机构工作人员的其他欺诈骗保行为。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（五）其他欺诈骗取医疗保障基金的行为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第六条</w:t>
      </w:r>
      <w:r>
        <w:rPr>
          <w:rFonts w:hint="default" w:ascii="仿宋_GB2312" w:hAnsi="仿宋_GB2312" w:eastAsia="仿宋_GB2312" w:cs="仿宋_GB2312"/>
          <w:i w:val="0"/>
          <w:caps w:val="0"/>
          <w:color w:val="333333"/>
          <w:spacing w:val="0"/>
          <w:sz w:val="32"/>
          <w:szCs w:val="32"/>
          <w:shd w:val="clear" w:fill="FFFFFF"/>
          <w:lang w:val="en-US" w:eastAsia="zh-CN"/>
        </w:rPr>
        <w:t xml:space="preserve"> 各级医疗保障部门应当向社会公布本级举报电话。同时扩充网站、邮件、电子邮箱、APP等举报渠道，也可统筹利用当地公共服务信息平台，方便举报人举报。</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第七条</w:t>
      </w:r>
      <w:r>
        <w:rPr>
          <w:rFonts w:hint="default" w:ascii="仿宋_GB2312" w:hAnsi="仿宋_GB2312" w:eastAsia="仿宋_GB2312" w:cs="仿宋_GB2312"/>
          <w:i w:val="0"/>
          <w:caps w:val="0"/>
          <w:color w:val="333333"/>
          <w:spacing w:val="0"/>
          <w:sz w:val="32"/>
          <w:szCs w:val="32"/>
          <w:shd w:val="clear" w:fill="FFFFFF"/>
          <w:lang w:val="en-US" w:eastAsia="zh-CN"/>
        </w:rPr>
        <w:t xml:space="preserve"> 举报人可通过开通的任何一种或多种渠道直接向当地医疗保障部门进行举报，也可以向上一级医疗保障部门直至国家医疗保障局进行举报。</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第八条</w:t>
      </w:r>
      <w:r>
        <w:rPr>
          <w:rFonts w:hint="default" w:ascii="仿宋_GB2312" w:hAnsi="仿宋_GB2312" w:eastAsia="仿宋_GB2312" w:cs="仿宋_GB2312"/>
          <w:i w:val="0"/>
          <w:caps w:val="0"/>
          <w:color w:val="333333"/>
          <w:spacing w:val="0"/>
          <w:sz w:val="32"/>
          <w:szCs w:val="32"/>
          <w:shd w:val="clear" w:fill="FFFFFF"/>
          <w:lang w:val="en-US" w:eastAsia="zh-CN"/>
        </w:rPr>
        <w:t xml:space="preserve"> 举报奖励应遵循以下原则：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（一）两个或两个以上举报人对同一事实进行举报的，按举报时间以第一举报人为奖励对象。</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（二）联名举报的，按一个举报人奖励额度进行奖励，奖金由举报人协商分配，协商不成的平均分配。</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（三）对同一举报人的同一举报事项，不重复奖励。对同一举报人提起的两个或者两个以上有包含关系的举报事项，相同内容部分不重复奖励。</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四）最终认定的违法事实与举报事项不一致的，不予奖励；最终认定的违法事实与举报事项部分一致的，只计算相一致部分的奖励金额；除举报事项外，还认定其他违法事实的，其他违法事实部分不计算奖励金额。</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（五）举报人可实名举报，也可匿名举报。匿名举报人有奖励诉求的，应当承诺不属于医疗保障行政部门、监督管理机构、经办机构及其工作人员，并在举报同时提供其他能够辨别其身份的信息及有效联系方式。</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第九条</w:t>
      </w:r>
      <w:r>
        <w:rPr>
          <w:rFonts w:hint="default" w:ascii="仿宋_GB2312" w:hAnsi="仿宋_GB2312" w:eastAsia="仿宋_GB2312" w:cs="仿宋_GB2312"/>
          <w:i w:val="0"/>
          <w:caps w:val="0"/>
          <w:color w:val="333333"/>
          <w:spacing w:val="0"/>
          <w:sz w:val="32"/>
          <w:szCs w:val="32"/>
          <w:shd w:val="clear" w:fill="FFFFFF"/>
          <w:lang w:val="en-US" w:eastAsia="zh-CN"/>
        </w:rPr>
        <w:t xml:space="preserve"> 举报人举报事项同时符合下列条件的，给予奖励：</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（一）举报情况经查证属实，造成医疗保障基金损失或因举报避免医疗保障基金损失；</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（二）举报人提供的主要事实、证据事先未被医疗保障行政部门掌握；</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（三）举报人选择愿意得到举报奖励。</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第三章 奖励标准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第十条</w:t>
      </w:r>
      <w:r>
        <w:rPr>
          <w:rFonts w:hint="default" w:ascii="仿宋_GB2312" w:hAnsi="仿宋_GB2312" w:eastAsia="仿宋_GB2312" w:cs="仿宋_GB2312"/>
          <w:i w:val="0"/>
          <w:caps w:val="0"/>
          <w:color w:val="333333"/>
          <w:spacing w:val="0"/>
          <w:sz w:val="32"/>
          <w:szCs w:val="32"/>
          <w:shd w:val="clear" w:fill="FFFFFF"/>
          <w:lang w:val="en-US" w:eastAsia="zh-CN"/>
        </w:rPr>
        <w:t xml:space="preserve"> 举报奖励坚持精神奖励与物质奖励相结合。举报奖励标准根据举报案件的涉案金额及案件性质等因素综合评定奖励金额。每起案件奖励金额最高不得超过10万元。</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第十一条</w:t>
      </w:r>
      <w:r>
        <w:rPr>
          <w:rFonts w:hint="default" w:ascii="仿宋_GB2312" w:hAnsi="仿宋_GB2312" w:eastAsia="仿宋_GB2312" w:cs="仿宋_GB2312"/>
          <w:i w:val="0"/>
          <w:caps w:val="0"/>
          <w:color w:val="333333"/>
          <w:spacing w:val="0"/>
          <w:sz w:val="32"/>
          <w:szCs w:val="32"/>
          <w:shd w:val="clear" w:fill="FFFFFF"/>
          <w:lang w:val="en-US" w:eastAsia="zh-CN"/>
        </w:rPr>
        <w:t xml:space="preserve"> 举报奖励根据举报证据与违法事实查证结果，按查实违规费用的1%进行奖励。如能详细提供被举报单位（人）的基本信息及其违法事实，已直接掌握证据并协助执法部门查处，举报情况与违法事实完全相符，按查实违规费用的2%进行奖励。</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按以上方式计算举报奖励不足500元的，给予500元奖励。</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欺诈骗保行为未造成基金损失，但举报内容属实的，可视情形给予200元奖励。</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第十二条</w:t>
      </w:r>
      <w:r>
        <w:rPr>
          <w:rFonts w:hint="default" w:ascii="仿宋_GB2312" w:hAnsi="仿宋_GB2312" w:eastAsia="仿宋_GB2312" w:cs="仿宋_GB2312"/>
          <w:i w:val="0"/>
          <w:caps w:val="0"/>
          <w:color w:val="333333"/>
          <w:spacing w:val="0"/>
          <w:sz w:val="32"/>
          <w:szCs w:val="32"/>
          <w:shd w:val="clear" w:fill="FFFFFF"/>
          <w:lang w:val="en-US" w:eastAsia="zh-CN"/>
        </w:rPr>
        <w:t xml:space="preserve"> 举报人为定点医疗机构、定点零售药店内部人员或原内部人员的，按查实违规费用的1.5%进行奖励。如能详细提供被举报单位（人）的基本信息及其违法事实，已直接掌握证据并协助执法部门查处，举报情况与违法事实完全相符，按查实违规费用的2%进行奖励。</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举报人为定点医疗机构、定点零售药店竞争机构及其工作人员，并提供可靠线索的，按查实违规费用的1.5%进行奖励。如能详细提供被举报单位（人）的基本信息及其违法事实，已直接掌握证据并协助执法部门查处，举报情况与违法事实完全相符，按查实违规费用的2%进行奖励。</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第十三条</w:t>
      </w:r>
      <w:r>
        <w:rPr>
          <w:rFonts w:hint="default" w:ascii="仿宋_GB2312" w:hAnsi="仿宋_GB2312" w:eastAsia="仿宋_GB2312" w:cs="仿宋_GB2312"/>
          <w:i w:val="0"/>
          <w:caps w:val="0"/>
          <w:color w:val="333333"/>
          <w:spacing w:val="0"/>
          <w:sz w:val="32"/>
          <w:szCs w:val="32"/>
          <w:shd w:val="clear" w:fill="FFFFFF"/>
          <w:lang w:val="en-US" w:eastAsia="zh-CN"/>
        </w:rPr>
        <w:t xml:space="preserve"> 对于举报人举报团伙性、全省性欺诈骗保线索经查实，且已造成较大社会影响或者可能造成重大社会影响的，奖励金额原则上不少于1万元。</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第四章 奖励程序</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 xml:space="preserve">第十四条 </w:t>
      </w:r>
      <w:r>
        <w:rPr>
          <w:rFonts w:hint="default" w:ascii="仿宋_GB2312" w:hAnsi="仿宋_GB2312" w:eastAsia="仿宋_GB2312" w:cs="仿宋_GB2312"/>
          <w:i w:val="0"/>
          <w:caps w:val="0"/>
          <w:color w:val="333333"/>
          <w:spacing w:val="0"/>
          <w:sz w:val="32"/>
          <w:szCs w:val="32"/>
          <w:shd w:val="clear" w:fill="FFFFFF"/>
          <w:lang w:val="en-US" w:eastAsia="zh-CN"/>
        </w:rPr>
        <w:t>本级受理或由上级医疗保障部门转办、交办的举报案件，奖励由做出最终处理决定的医疗保障部门负责办理，奖励资金由同级财政部门予以保障。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第十五条</w:t>
      </w:r>
      <w:r>
        <w:rPr>
          <w:rFonts w:hint="default" w:ascii="仿宋_GB2312" w:hAnsi="仿宋_GB2312" w:eastAsia="仿宋_GB2312" w:cs="仿宋_GB2312"/>
          <w:i w:val="0"/>
          <w:caps w:val="0"/>
          <w:color w:val="333333"/>
          <w:spacing w:val="0"/>
          <w:sz w:val="32"/>
          <w:szCs w:val="32"/>
          <w:shd w:val="clear" w:fill="FFFFFF"/>
          <w:lang w:val="en-US" w:eastAsia="zh-CN"/>
        </w:rPr>
        <w:t xml:space="preserve"> 对举报案件做出最终处理决定的医疗保障部门在立案查处完毕后，对符合本细则规定奖励条件的，应按下列流程启动奖励程序。</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（一）医疗保障部门应在15个工作日内，书面或电话告知符合本细则规定奖励条件的举报人有申请奖励的权利，并根据举报人意愿启动奖励程序。</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（二）举报人应在接到举报奖励告知之日起30个工作日内提出申请举报奖励的书面请求，逾期未提出奖励申请的，视为放弃奖励权利。</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（三）医疗保障部门在收到举报人奖励申请后，应在60个工作日内提出奖励意见（包括奖励金额）并按照程序报批后，将奖励决定告知举报人，对决定不予奖励的也要将理由一并告知举报人。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（四）举报人应在接到奖励决定通知之日起30个工作日内，由本人提供有效身份证明及接收奖励资金的银行卡号到医疗保障部门确认奖励。逾期不确认的，视为放弃奖励，奖励取消。</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（五）奖励资金的支付按照国库集中支付有关规定执行，举报奖励资金采取非现金方式支付。</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举报人对举报奖励金额、等级有异议的，可在收到奖励通知书之日起30个工作日内，向实施举报奖励的医疗保障部门提出复核请求。</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第五章 监督管理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第十六条</w:t>
      </w:r>
      <w:r>
        <w:rPr>
          <w:rFonts w:hint="default" w:ascii="仿宋_GB2312" w:hAnsi="仿宋_GB2312" w:eastAsia="仿宋_GB2312" w:cs="仿宋_GB2312"/>
          <w:i w:val="0"/>
          <w:caps w:val="0"/>
          <w:color w:val="333333"/>
          <w:spacing w:val="0"/>
          <w:sz w:val="32"/>
          <w:szCs w:val="32"/>
          <w:shd w:val="clear" w:fill="FFFFFF"/>
          <w:lang w:val="en-US" w:eastAsia="zh-CN"/>
        </w:rPr>
        <w:t xml:space="preserve"> 各级医疗保障部门对举报奖励要建立严格的审核、审批、监督程序。</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第十七条</w:t>
      </w:r>
      <w:r>
        <w:rPr>
          <w:rFonts w:hint="default" w:ascii="仿宋_GB2312" w:hAnsi="仿宋_GB2312" w:eastAsia="仿宋_GB2312" w:cs="仿宋_GB2312"/>
          <w:i w:val="0"/>
          <w:caps w:val="0"/>
          <w:color w:val="333333"/>
          <w:spacing w:val="0"/>
          <w:sz w:val="32"/>
          <w:szCs w:val="32"/>
          <w:shd w:val="clear" w:fill="FFFFFF"/>
          <w:lang w:val="en-US" w:eastAsia="zh-CN"/>
        </w:rPr>
        <w:t xml:space="preserve"> 各级医疗保障部门应当依法保护举报人合法权益，不得泄露举报人相关信息。因泄露举报人相关信息损害举报人利益的，按相关规定严肃处理。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第十八条</w:t>
      </w:r>
      <w:r>
        <w:rPr>
          <w:rFonts w:hint="default" w:ascii="仿宋_GB2312" w:hAnsi="仿宋_GB2312" w:eastAsia="仿宋_GB2312" w:cs="仿宋_GB2312"/>
          <w:i w:val="0"/>
          <w:caps w:val="0"/>
          <w:color w:val="333333"/>
          <w:spacing w:val="0"/>
          <w:sz w:val="32"/>
          <w:szCs w:val="32"/>
          <w:shd w:val="clear" w:fill="FFFFFF"/>
          <w:lang w:val="en-US" w:eastAsia="zh-CN"/>
        </w:rPr>
        <w:t xml:space="preserve"> 严禁虚假举报。举报人故意捏造事实诬告他人，或者弄虚作假骗取奖励，依法承担相应责任。</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第十九条</w:t>
      </w:r>
      <w:r>
        <w:rPr>
          <w:rFonts w:hint="default" w:ascii="仿宋_GB2312" w:hAnsi="仿宋_GB2312" w:eastAsia="仿宋_GB2312" w:cs="仿宋_GB2312"/>
          <w:i w:val="0"/>
          <w:caps w:val="0"/>
          <w:color w:val="333333"/>
          <w:spacing w:val="0"/>
          <w:sz w:val="32"/>
          <w:szCs w:val="32"/>
          <w:shd w:val="clear" w:fill="FFFFFF"/>
          <w:lang w:val="en-US" w:eastAsia="zh-CN"/>
        </w:rPr>
        <w:t xml:space="preserve"> 各级医疗保障部门要建立并妥善保存举报奖励档案，包括举报记录、立案及查处情况，奖励申请、奖励通知、奖励领取记录、奖金发放凭证等。</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第二十条</w:t>
      </w:r>
      <w:r>
        <w:rPr>
          <w:rFonts w:hint="default" w:ascii="仿宋_GB2312" w:hAnsi="仿宋_GB2312" w:eastAsia="仿宋_GB2312" w:cs="仿宋_GB2312"/>
          <w:i w:val="0"/>
          <w:caps w:val="0"/>
          <w:color w:val="333333"/>
          <w:spacing w:val="0"/>
          <w:sz w:val="32"/>
          <w:szCs w:val="32"/>
          <w:shd w:val="clear" w:fill="FFFFFF"/>
          <w:lang w:val="en-US" w:eastAsia="zh-CN"/>
        </w:rPr>
        <w:t xml:space="preserve"> 各级医疗保障部门要定期对举报奖励工作进行汇总、分析，发现问题及时处理。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第六章 附则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第二十一条</w:t>
      </w:r>
      <w:r>
        <w:rPr>
          <w:rFonts w:hint="default" w:ascii="仿宋_GB2312" w:hAnsi="仿宋_GB2312" w:eastAsia="仿宋_GB2312" w:cs="仿宋_GB2312"/>
          <w:i w:val="0"/>
          <w:caps w:val="0"/>
          <w:color w:val="333333"/>
          <w:spacing w:val="0"/>
          <w:sz w:val="32"/>
          <w:szCs w:val="32"/>
          <w:shd w:val="clear" w:fill="FFFFFF"/>
          <w:lang w:val="en-US" w:eastAsia="zh-CN"/>
        </w:rPr>
        <w:t xml:space="preserve"> 本实施细则由云南省医疗保障局、云南省财政厅负责解释。</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第二十二条</w:t>
      </w:r>
      <w:r>
        <w:rPr>
          <w:rFonts w:hint="default" w:ascii="仿宋_GB2312" w:hAnsi="仿宋_GB2312" w:eastAsia="仿宋_GB2312" w:cs="仿宋_GB2312"/>
          <w:i w:val="0"/>
          <w:caps w:val="0"/>
          <w:color w:val="333333"/>
          <w:spacing w:val="0"/>
          <w:sz w:val="32"/>
          <w:szCs w:val="32"/>
          <w:shd w:val="clear" w:fill="FFFFFF"/>
          <w:lang w:val="en-US" w:eastAsia="zh-CN"/>
        </w:rPr>
        <w:t xml:space="preserve"> 本实施细则下发之日起试行，云南省医疗保障局、云南省财政厅可根据举报奖励运行情况进行调整。</w:t>
      </w: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12"/>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28"/>
        <w:szCs w:val="44"/>
        <w:lang w:val="en-US" w:eastAsia="zh-CN"/>
      </w:rPr>
      <w:t xml:space="preserve">云南省医疗保障局发布     </w:t>
    </w:r>
  </w:p>
  <w:p>
    <w:pPr>
      <w:pStyle w:val="12"/>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12"/>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szCs w:val="32"/>
        <w:lang w:val="en-US" w:eastAsia="zh-CN"/>
      </w:rPr>
      <w:t>云南省医疗保障局行政规范性文件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19005D"/>
    <w:multiLevelType w:val="multilevel"/>
    <w:tmpl w:val="2819005D"/>
    <w:lvl w:ilvl="0" w:tentative="0">
      <w:start w:val="1"/>
      <w:numFmt w:val="decimal"/>
      <w:pStyle w:val="3"/>
      <w:suff w:val="space"/>
      <w:lvlText w:val="%1"/>
      <w:lvlJc w:val="left"/>
      <w:pPr>
        <w:tabs>
          <w:tab w:val="left" w:pos="420"/>
        </w:tabs>
        <w:ind w:left="0" w:firstLine="0"/>
      </w:pPr>
      <w:rPr>
        <w:rFonts w:hint="eastAsia" w:ascii="宋体" w:hAnsi="宋体" w:eastAsia="宋体"/>
        <w:b/>
        <w:bCs/>
        <w:i w:val="0"/>
        <w:iCs w:val="0"/>
        <w:caps w:val="0"/>
        <w:strike w:val="0"/>
        <w:dstrike w:val="0"/>
        <w:vanish w:val="0"/>
        <w:color w:val="auto"/>
        <w:w w:val="100"/>
        <w:sz w:val="28"/>
        <w:szCs w:val="28"/>
        <w:u w:val="none"/>
        <w:vertAlign w:val="baseline"/>
      </w:rPr>
    </w:lvl>
    <w:lvl w:ilvl="1" w:tentative="0">
      <w:start w:val="1"/>
      <w:numFmt w:val="decimal"/>
      <w:pStyle w:val="4"/>
      <w:suff w:val="space"/>
      <w:lvlText w:val="%1.%2"/>
      <w:lvlJc w:val="left"/>
      <w:pPr>
        <w:tabs>
          <w:tab w:val="left" w:pos="420"/>
        </w:tabs>
        <w:ind w:left="-105" w:firstLine="0"/>
      </w:pPr>
      <w:rPr>
        <w:rFonts w:hint="eastAsia" w:ascii="宋体" w:hAnsi="宋体" w:eastAsia="宋体"/>
        <w:b/>
        <w:bCs/>
        <w:i w:val="0"/>
        <w:iCs w:val="0"/>
        <w:vanish w:val="0"/>
        <w:color w:val="auto"/>
        <w:w w:val="100"/>
        <w:sz w:val="24"/>
        <w:szCs w:val="24"/>
        <w:u w:val="none"/>
      </w:rPr>
    </w:lvl>
    <w:lvl w:ilvl="2" w:tentative="0">
      <w:start w:val="1"/>
      <w:numFmt w:val="decimal"/>
      <w:pStyle w:val="5"/>
      <w:suff w:val="space"/>
      <w:lvlText w:val="%1.%2.%3"/>
      <w:lvlJc w:val="left"/>
      <w:pPr>
        <w:tabs>
          <w:tab w:val="left" w:pos="420"/>
        </w:tabs>
        <w:ind w:left="0" w:firstLine="0"/>
      </w:pPr>
      <w:rPr>
        <w:rFonts w:hint="eastAsia" w:ascii="宋体" w:hAnsi="宋体" w:eastAsia="宋体"/>
        <w:b/>
        <w:bCs/>
        <w:i w:val="0"/>
        <w:iCs w:val="0"/>
        <w:vanish w:val="0"/>
        <w:color w:val="auto"/>
        <w:w w:val="100"/>
        <w:sz w:val="24"/>
        <w:szCs w:val="24"/>
        <w:u w:val="none"/>
      </w:rPr>
    </w:lvl>
    <w:lvl w:ilvl="3" w:tentative="0">
      <w:start w:val="1"/>
      <w:numFmt w:val="decimal"/>
      <w:pStyle w:val="6"/>
      <w:suff w:val="space"/>
      <w:lvlText w:val="%1.%2.%3.%4"/>
      <w:lvlJc w:val="left"/>
      <w:pPr>
        <w:tabs>
          <w:tab w:val="left" w:pos="420"/>
        </w:tabs>
        <w:ind w:left="0" w:firstLine="0"/>
      </w:pPr>
      <w:rPr>
        <w:rFonts w:hint="eastAsia" w:ascii="宋体" w:hAnsi="宋体" w:eastAsia="宋体"/>
        <w:b/>
        <w:bCs/>
        <w:i w:val="0"/>
        <w:iCs w:val="0"/>
        <w:vanish w:val="0"/>
        <w:color w:val="auto"/>
        <w:w w:val="100"/>
        <w:sz w:val="21"/>
        <w:szCs w:val="21"/>
        <w:u w:val="none"/>
      </w:rPr>
    </w:lvl>
    <w:lvl w:ilvl="4" w:tentative="0">
      <w:start w:val="1"/>
      <w:numFmt w:val="decimal"/>
      <w:pStyle w:val="7"/>
      <w:suff w:val="space"/>
      <w:lvlText w:val="%1.%2.%3.%4.%5"/>
      <w:lvlJc w:val="left"/>
      <w:pPr>
        <w:tabs>
          <w:tab w:val="left" w:pos="420"/>
        </w:tabs>
        <w:ind w:left="0" w:firstLine="0"/>
      </w:pPr>
      <w:rPr>
        <w:rFonts w:hint="eastAsia" w:ascii="宋体" w:hAnsi="宋体" w:eastAsia="宋体"/>
        <w:b/>
        <w:bCs/>
        <w:i w:val="0"/>
        <w:iCs w:val="0"/>
        <w:vanish w:val="0"/>
        <w:color w:val="auto"/>
        <w:w w:val="100"/>
        <w:sz w:val="21"/>
        <w:szCs w:val="21"/>
        <w:u w:val="none"/>
      </w:rPr>
    </w:lvl>
    <w:lvl w:ilvl="5" w:tentative="0">
      <w:start w:val="1"/>
      <w:numFmt w:val="decimal"/>
      <w:suff w:val="space"/>
      <w:lvlText w:val="%1.%2.%3.%4.%5.%6"/>
      <w:lvlJc w:val="left"/>
      <w:pPr>
        <w:tabs>
          <w:tab w:val="left" w:pos="420"/>
        </w:tabs>
        <w:ind w:left="0" w:firstLine="0"/>
      </w:pPr>
      <w:rPr>
        <w:rFonts w:hint="eastAsia" w:ascii="宋体" w:hAnsi="宋体" w:eastAsia="宋体"/>
        <w:b/>
        <w:bCs/>
        <w:i w:val="0"/>
        <w:iCs w:val="0"/>
        <w:vanish w:val="0"/>
        <w:color w:val="auto"/>
        <w:w w:val="100"/>
        <w:sz w:val="21"/>
        <w:szCs w:val="21"/>
        <w:u w:val="none"/>
      </w:rPr>
    </w:lvl>
    <w:lvl w:ilvl="6" w:tentative="0">
      <w:start w:val="1"/>
      <w:numFmt w:val="decimal"/>
      <w:suff w:val="space"/>
      <w:lvlText w:val="%1.%2.%3.%4.%5.%6.%7"/>
      <w:lvlJc w:val="left"/>
      <w:pPr>
        <w:tabs>
          <w:tab w:val="left" w:pos="420"/>
        </w:tabs>
        <w:ind w:left="0" w:firstLine="0"/>
      </w:pPr>
      <w:rPr>
        <w:rFonts w:hint="eastAsia" w:ascii="宋体" w:hAnsi="宋体" w:eastAsia="宋体"/>
        <w:b/>
        <w:bCs/>
        <w:i w:val="0"/>
        <w:iCs w:val="0"/>
        <w:vanish w:val="0"/>
        <w:color w:val="auto"/>
        <w:w w:val="100"/>
        <w:sz w:val="21"/>
        <w:szCs w:val="21"/>
        <w:u w:val="none"/>
      </w:rPr>
    </w:lvl>
    <w:lvl w:ilvl="7" w:tentative="0">
      <w:start w:val="1"/>
      <w:numFmt w:val="decimal"/>
      <w:suff w:val="space"/>
      <w:lvlText w:val="%1.%2.%3.%4.%5.%6.%7.%8"/>
      <w:lvlJc w:val="left"/>
      <w:pPr>
        <w:tabs>
          <w:tab w:val="left" w:pos="420"/>
        </w:tabs>
        <w:ind w:left="0" w:firstLine="0"/>
      </w:pPr>
      <w:rPr>
        <w:rFonts w:hint="eastAsia" w:ascii="宋体" w:hAnsi="宋体" w:eastAsia="宋体"/>
        <w:b/>
        <w:bCs/>
        <w:i w:val="0"/>
        <w:iCs w:val="0"/>
        <w:vanish w:val="0"/>
        <w:color w:val="auto"/>
        <w:w w:val="100"/>
        <w:sz w:val="21"/>
        <w:szCs w:val="21"/>
        <w:u w:val="none"/>
      </w:rPr>
    </w:lvl>
    <w:lvl w:ilvl="8" w:tentative="0">
      <w:start w:val="1"/>
      <w:numFmt w:val="decimal"/>
      <w:suff w:val="space"/>
      <w:lvlText w:val="%1.%2.%3.%4.%5.%6.%7.%8.%9"/>
      <w:lvlJc w:val="left"/>
      <w:pPr>
        <w:tabs>
          <w:tab w:val="left" w:pos="420"/>
        </w:tabs>
        <w:ind w:left="0" w:firstLine="0"/>
      </w:pPr>
      <w:rPr>
        <w:rFonts w:hint="eastAsia" w:ascii="宋体" w:hAnsi="宋体" w:eastAsia="宋体"/>
        <w:b/>
        <w:bCs/>
        <w:i w:val="0"/>
        <w:iCs w:val="0"/>
        <w:vanish w:val="0"/>
        <w:color w:val="auto"/>
        <w:w w:val="100"/>
        <w:sz w:val="21"/>
        <w:szCs w:val="21"/>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272241"/>
    <w:rsid w:val="00AA27D4"/>
    <w:rsid w:val="00C54EEA"/>
    <w:rsid w:val="00C835ED"/>
    <w:rsid w:val="010F3DDD"/>
    <w:rsid w:val="011F5BCA"/>
    <w:rsid w:val="019E71BD"/>
    <w:rsid w:val="01E00C12"/>
    <w:rsid w:val="02160E34"/>
    <w:rsid w:val="021B6257"/>
    <w:rsid w:val="04360B78"/>
    <w:rsid w:val="04B679C3"/>
    <w:rsid w:val="050801B0"/>
    <w:rsid w:val="0661613A"/>
    <w:rsid w:val="06D36447"/>
    <w:rsid w:val="080F63D8"/>
    <w:rsid w:val="08E505F2"/>
    <w:rsid w:val="09341458"/>
    <w:rsid w:val="099514A1"/>
    <w:rsid w:val="09FF7F32"/>
    <w:rsid w:val="0AAE6AAB"/>
    <w:rsid w:val="0B0912D7"/>
    <w:rsid w:val="0CE74E21"/>
    <w:rsid w:val="0F040B48"/>
    <w:rsid w:val="11C934C6"/>
    <w:rsid w:val="11EC625E"/>
    <w:rsid w:val="13462986"/>
    <w:rsid w:val="1447025F"/>
    <w:rsid w:val="14497071"/>
    <w:rsid w:val="14587791"/>
    <w:rsid w:val="15103CF8"/>
    <w:rsid w:val="152206F7"/>
    <w:rsid w:val="152D2DCA"/>
    <w:rsid w:val="1573530D"/>
    <w:rsid w:val="15886EF0"/>
    <w:rsid w:val="15F20827"/>
    <w:rsid w:val="17F16F56"/>
    <w:rsid w:val="181C76BE"/>
    <w:rsid w:val="188937A9"/>
    <w:rsid w:val="192E664C"/>
    <w:rsid w:val="195436E9"/>
    <w:rsid w:val="19DD1972"/>
    <w:rsid w:val="1A022DD1"/>
    <w:rsid w:val="1A5250C1"/>
    <w:rsid w:val="1B5662F7"/>
    <w:rsid w:val="1B903DB2"/>
    <w:rsid w:val="1BCA18AE"/>
    <w:rsid w:val="1C141F86"/>
    <w:rsid w:val="1C4B037C"/>
    <w:rsid w:val="1DEC284C"/>
    <w:rsid w:val="1E6523AC"/>
    <w:rsid w:val="1F4432CB"/>
    <w:rsid w:val="208C3A47"/>
    <w:rsid w:val="221C31F5"/>
    <w:rsid w:val="22440422"/>
    <w:rsid w:val="22852558"/>
    <w:rsid w:val="2431259B"/>
    <w:rsid w:val="24542A4B"/>
    <w:rsid w:val="252B18FB"/>
    <w:rsid w:val="2594276E"/>
    <w:rsid w:val="25BC0296"/>
    <w:rsid w:val="25F72AEE"/>
    <w:rsid w:val="273A74F0"/>
    <w:rsid w:val="282C4413"/>
    <w:rsid w:val="2928532F"/>
    <w:rsid w:val="2A1C1FC5"/>
    <w:rsid w:val="2B2E72AB"/>
    <w:rsid w:val="2B420351"/>
    <w:rsid w:val="2C2379BF"/>
    <w:rsid w:val="2D5C67E7"/>
    <w:rsid w:val="2F6F1730"/>
    <w:rsid w:val="2FC920C5"/>
    <w:rsid w:val="31A15F24"/>
    <w:rsid w:val="31C30C1A"/>
    <w:rsid w:val="32FE6D0F"/>
    <w:rsid w:val="3307777B"/>
    <w:rsid w:val="36843254"/>
    <w:rsid w:val="36DB46CF"/>
    <w:rsid w:val="395347B5"/>
    <w:rsid w:val="397F3FCC"/>
    <w:rsid w:val="39A232A0"/>
    <w:rsid w:val="39E745AA"/>
    <w:rsid w:val="3B5A6BBB"/>
    <w:rsid w:val="3CC65204"/>
    <w:rsid w:val="3CF84984"/>
    <w:rsid w:val="3E677953"/>
    <w:rsid w:val="3E840C6A"/>
    <w:rsid w:val="3EDA13A6"/>
    <w:rsid w:val="3F7C3FDA"/>
    <w:rsid w:val="42522227"/>
    <w:rsid w:val="42F058B7"/>
    <w:rsid w:val="433648BA"/>
    <w:rsid w:val="436109F6"/>
    <w:rsid w:val="4373436C"/>
    <w:rsid w:val="441A38D4"/>
    <w:rsid w:val="46634788"/>
    <w:rsid w:val="47D3046F"/>
    <w:rsid w:val="48041351"/>
    <w:rsid w:val="488E42C9"/>
    <w:rsid w:val="4A672C72"/>
    <w:rsid w:val="4ABB034A"/>
    <w:rsid w:val="4AF562BD"/>
    <w:rsid w:val="4B102BC8"/>
    <w:rsid w:val="4B9B3A30"/>
    <w:rsid w:val="4BC77339"/>
    <w:rsid w:val="4C164D19"/>
    <w:rsid w:val="4C9236C5"/>
    <w:rsid w:val="4CC53CC9"/>
    <w:rsid w:val="4DB5279C"/>
    <w:rsid w:val="4ED533A1"/>
    <w:rsid w:val="501C2E48"/>
    <w:rsid w:val="505C172E"/>
    <w:rsid w:val="517B1258"/>
    <w:rsid w:val="52710CF1"/>
    <w:rsid w:val="52990A6C"/>
    <w:rsid w:val="52C12107"/>
    <w:rsid w:val="52F46F0B"/>
    <w:rsid w:val="53877224"/>
    <w:rsid w:val="53D8014D"/>
    <w:rsid w:val="53E105FA"/>
    <w:rsid w:val="54101A0E"/>
    <w:rsid w:val="55E064E0"/>
    <w:rsid w:val="572C6D10"/>
    <w:rsid w:val="57940BED"/>
    <w:rsid w:val="585B0F82"/>
    <w:rsid w:val="59343DA7"/>
    <w:rsid w:val="59445BC2"/>
    <w:rsid w:val="5D512D7C"/>
    <w:rsid w:val="5D835179"/>
    <w:rsid w:val="5DC34279"/>
    <w:rsid w:val="5FC42B50"/>
    <w:rsid w:val="6004528C"/>
    <w:rsid w:val="608816D1"/>
    <w:rsid w:val="60EF4E7F"/>
    <w:rsid w:val="61455008"/>
    <w:rsid w:val="62362426"/>
    <w:rsid w:val="665233C1"/>
    <w:rsid w:val="67B24991"/>
    <w:rsid w:val="6AD9688B"/>
    <w:rsid w:val="6CAC71E4"/>
    <w:rsid w:val="6D0E3F22"/>
    <w:rsid w:val="6D303D08"/>
    <w:rsid w:val="6DBC77E8"/>
    <w:rsid w:val="6E683D90"/>
    <w:rsid w:val="6E845B51"/>
    <w:rsid w:val="6F360F3E"/>
    <w:rsid w:val="6FCF00AA"/>
    <w:rsid w:val="701D6125"/>
    <w:rsid w:val="717C3997"/>
    <w:rsid w:val="72E17E80"/>
    <w:rsid w:val="73C14A57"/>
    <w:rsid w:val="749609C5"/>
    <w:rsid w:val="75423411"/>
    <w:rsid w:val="754B74E1"/>
    <w:rsid w:val="75D30027"/>
    <w:rsid w:val="768C48B4"/>
    <w:rsid w:val="77327CAF"/>
    <w:rsid w:val="7A901095"/>
    <w:rsid w:val="7BA8267B"/>
    <w:rsid w:val="7C5611AA"/>
    <w:rsid w:val="7C9011D9"/>
    <w:rsid w:val="7DC651C5"/>
    <w:rsid w:val="7E207132"/>
    <w:rsid w:val="7F087623"/>
    <w:rsid w:val="7F617B36"/>
    <w:rsid w:val="7FCC2834"/>
    <w:rsid w:val="7FEC474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qFormat="1" w:uiPriority="39"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next w:val="1"/>
    <w:qFormat/>
    <w:uiPriority w:val="9"/>
    <w:pPr>
      <w:keepNext/>
      <w:keepLines/>
      <w:widowControl w:val="0"/>
      <w:numPr>
        <w:ilvl w:val="0"/>
        <w:numId w:val="1"/>
      </w:numPr>
      <w:spacing w:before="340" w:beforeLines="50" w:after="330" w:afterLines="50" w:line="360" w:lineRule="auto"/>
      <w:ind w:firstLine="40" w:firstLineChars="0"/>
      <w:jc w:val="left"/>
      <w:outlineLvl w:val="0"/>
    </w:pPr>
    <w:rPr>
      <w:rFonts w:ascii="宋体" w:hAnsi="宋体" w:eastAsia="宋体" w:cs="宋体"/>
      <w:b/>
      <w:bCs/>
      <w:kern w:val="44"/>
      <w:sz w:val="28"/>
      <w:szCs w:val="28"/>
      <w:lang w:val="en-US" w:eastAsia="zh-CN" w:bidi="ar-SA"/>
    </w:rPr>
  </w:style>
  <w:style w:type="paragraph" w:styleId="4">
    <w:name w:val="heading 2"/>
    <w:next w:val="1"/>
    <w:unhideWhenUsed/>
    <w:qFormat/>
    <w:uiPriority w:val="9"/>
    <w:pPr>
      <w:keepNext/>
      <w:keepLines/>
      <w:widowControl w:val="0"/>
      <w:numPr>
        <w:ilvl w:val="1"/>
        <w:numId w:val="1"/>
      </w:numPr>
      <w:spacing w:before="260" w:beforeLines="50" w:after="260" w:afterLines="50" w:line="360" w:lineRule="auto"/>
      <w:ind w:firstLine="40" w:firstLineChars="0"/>
      <w:jc w:val="left"/>
      <w:outlineLvl w:val="1"/>
    </w:pPr>
    <w:rPr>
      <w:rFonts w:ascii="宋体" w:hAnsi="宋体" w:eastAsia="宋体" w:cs="宋体"/>
      <w:b/>
      <w:bCs/>
      <w:kern w:val="0"/>
      <w:sz w:val="24"/>
      <w:szCs w:val="24"/>
      <w:lang w:val="en-US" w:eastAsia="zh-CN" w:bidi="ar-SA"/>
    </w:rPr>
  </w:style>
  <w:style w:type="paragraph" w:styleId="5">
    <w:name w:val="heading 3"/>
    <w:next w:val="1"/>
    <w:unhideWhenUsed/>
    <w:qFormat/>
    <w:uiPriority w:val="9"/>
    <w:pPr>
      <w:keepNext/>
      <w:keepLines/>
      <w:widowControl w:val="0"/>
      <w:numPr>
        <w:ilvl w:val="2"/>
        <w:numId w:val="1"/>
      </w:numPr>
      <w:spacing w:before="260" w:beforeLines="50" w:after="260" w:afterLines="50" w:line="360" w:lineRule="auto"/>
      <w:ind w:firstLine="40" w:firstLineChars="0"/>
      <w:jc w:val="left"/>
      <w:outlineLvl w:val="2"/>
    </w:pPr>
    <w:rPr>
      <w:rFonts w:ascii="宋体" w:hAnsi="宋体" w:eastAsia="宋体" w:cs="宋体"/>
      <w:b/>
      <w:bCs/>
      <w:kern w:val="0"/>
      <w:sz w:val="24"/>
      <w:szCs w:val="24"/>
      <w:lang w:val="en-US" w:eastAsia="zh-CN" w:bidi="ar-SA"/>
    </w:rPr>
  </w:style>
  <w:style w:type="paragraph" w:styleId="6">
    <w:name w:val="heading 4"/>
    <w:next w:val="1"/>
    <w:unhideWhenUsed/>
    <w:qFormat/>
    <w:uiPriority w:val="9"/>
    <w:pPr>
      <w:keepNext/>
      <w:keepLines/>
      <w:widowControl w:val="0"/>
      <w:numPr>
        <w:ilvl w:val="3"/>
        <w:numId w:val="1"/>
      </w:numPr>
      <w:spacing w:before="280" w:beforeLines="50" w:after="290" w:afterLines="50" w:line="360" w:lineRule="auto"/>
      <w:ind w:firstLine="40" w:firstLineChars="0"/>
      <w:jc w:val="left"/>
      <w:outlineLvl w:val="3"/>
    </w:pPr>
    <w:rPr>
      <w:rFonts w:ascii="宋体" w:hAnsi="宋体" w:eastAsia="宋体" w:cs="宋体"/>
      <w:b/>
      <w:bCs/>
      <w:kern w:val="0"/>
      <w:sz w:val="21"/>
      <w:szCs w:val="21"/>
      <w:lang w:val="en-US" w:eastAsia="zh-CN" w:bidi="ar-SA"/>
    </w:rPr>
  </w:style>
  <w:style w:type="paragraph" w:styleId="7">
    <w:name w:val="heading 5"/>
    <w:next w:val="1"/>
    <w:unhideWhenUsed/>
    <w:qFormat/>
    <w:uiPriority w:val="9"/>
    <w:pPr>
      <w:keepNext/>
      <w:keepLines/>
      <w:widowControl w:val="0"/>
      <w:numPr>
        <w:ilvl w:val="4"/>
        <w:numId w:val="1"/>
      </w:numPr>
      <w:spacing w:before="280" w:beforeLines="50" w:after="290" w:afterLines="50" w:line="360" w:lineRule="auto"/>
      <w:ind w:firstLine="40" w:firstLineChars="0"/>
      <w:jc w:val="left"/>
      <w:outlineLvl w:val="4"/>
    </w:pPr>
    <w:rPr>
      <w:rFonts w:ascii="宋体" w:hAnsi="宋体" w:eastAsia="宋体" w:cs="宋体"/>
      <w:b/>
      <w:bCs/>
      <w:kern w:val="2"/>
      <w:sz w:val="21"/>
      <w:szCs w:val="21"/>
      <w:lang w:val="en-US" w:eastAsia="zh-CN" w:bidi="ar-SA"/>
    </w:rPr>
  </w:style>
  <w:style w:type="character" w:default="1" w:styleId="16">
    <w:name w:val="Default Paragraph Font"/>
    <w:semiHidden/>
    <w:qFormat/>
    <w:uiPriority w:val="0"/>
  </w:style>
  <w:style w:type="table" w:default="1" w:styleId="17">
    <w:name w:val="Normal Table"/>
    <w:semiHidden/>
    <w:qFormat/>
    <w:uiPriority w:val="0"/>
    <w:tblPr>
      <w:tblLayout w:type="fixed"/>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8">
    <w:name w:val="annotation text"/>
    <w:basedOn w:val="1"/>
    <w:qFormat/>
    <w:uiPriority w:val="0"/>
    <w:pPr>
      <w:jc w:val="left"/>
    </w:pPr>
  </w:style>
  <w:style w:type="paragraph" w:styleId="9">
    <w:name w:val="Body Text"/>
    <w:unhideWhenUsed/>
    <w:qFormat/>
    <w:uiPriority w:val="99"/>
    <w:pPr>
      <w:widowControl w:val="0"/>
      <w:spacing w:before="43" w:line="360" w:lineRule="auto"/>
      <w:ind w:left="1040" w:firstLine="40" w:firstLineChars="200"/>
      <w:jc w:val="both"/>
    </w:pPr>
    <w:rPr>
      <w:rFonts w:ascii="宋体" w:hAnsi="宋体" w:eastAsia="宋体" w:cs="宋体"/>
      <w:kern w:val="2"/>
      <w:sz w:val="21"/>
      <w:szCs w:val="21"/>
      <w:lang w:val="en-US" w:eastAsia="en-US" w:bidi="en-US"/>
    </w:rPr>
  </w:style>
  <w:style w:type="paragraph" w:styleId="10">
    <w:name w:val="toc 3"/>
    <w:next w:val="1"/>
    <w:unhideWhenUsed/>
    <w:qFormat/>
    <w:uiPriority w:val="39"/>
    <w:pPr>
      <w:widowControl w:val="0"/>
      <w:spacing w:line="360" w:lineRule="auto"/>
      <w:ind w:left="840" w:leftChars="400" w:firstLine="40" w:firstLineChars="200"/>
      <w:jc w:val="both"/>
    </w:pPr>
    <w:rPr>
      <w:rFonts w:ascii="宋体" w:hAnsi="宋体" w:eastAsia="宋体" w:cs="宋体"/>
      <w:kern w:val="2"/>
      <w:sz w:val="21"/>
      <w:szCs w:val="21"/>
      <w:lang w:val="en-US" w:eastAsia="zh-CN" w:bidi="ar-SA"/>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next w:val="1"/>
    <w:unhideWhenUsed/>
    <w:qFormat/>
    <w:uiPriority w:val="39"/>
    <w:pPr>
      <w:widowControl w:val="0"/>
      <w:spacing w:line="360" w:lineRule="auto"/>
      <w:ind w:firstLine="40" w:firstLineChars="200"/>
      <w:jc w:val="both"/>
    </w:pPr>
    <w:rPr>
      <w:rFonts w:ascii="宋体" w:hAnsi="宋体" w:eastAsia="宋体" w:cs="宋体"/>
      <w:kern w:val="2"/>
      <w:sz w:val="21"/>
      <w:szCs w:val="21"/>
      <w:lang w:val="en-US" w:eastAsia="zh-CN" w:bidi="ar-SA"/>
    </w:rPr>
  </w:style>
  <w:style w:type="paragraph" w:styleId="14">
    <w:name w:val="toc 4"/>
    <w:next w:val="1"/>
    <w:unhideWhenUsed/>
    <w:qFormat/>
    <w:uiPriority w:val="39"/>
    <w:pPr>
      <w:widowControl w:val="0"/>
      <w:spacing w:line="360" w:lineRule="auto"/>
      <w:ind w:left="1260" w:leftChars="600" w:firstLine="40" w:firstLineChars="200"/>
      <w:jc w:val="both"/>
    </w:pPr>
    <w:rPr>
      <w:rFonts w:ascii="宋体" w:hAnsi="宋体" w:eastAsia="宋体" w:cs="宋体"/>
      <w:kern w:val="2"/>
      <w:sz w:val="21"/>
      <w:szCs w:val="21"/>
      <w:lang w:val="en-US" w:eastAsia="zh-CN" w:bidi="ar-SA"/>
    </w:rPr>
  </w:style>
  <w:style w:type="paragraph" w:styleId="15">
    <w:name w:val="toc 2"/>
    <w:next w:val="1"/>
    <w:unhideWhenUsed/>
    <w:qFormat/>
    <w:uiPriority w:val="39"/>
    <w:pPr>
      <w:widowControl w:val="0"/>
      <w:spacing w:line="360" w:lineRule="auto"/>
      <w:ind w:left="420" w:leftChars="200" w:firstLine="40" w:firstLineChars="200"/>
      <w:jc w:val="both"/>
    </w:pPr>
    <w:rPr>
      <w:rFonts w:ascii="宋体" w:hAnsi="宋体" w:eastAsia="宋体" w:cs="宋体"/>
      <w:kern w:val="2"/>
      <w:sz w:val="21"/>
      <w:szCs w:val="21"/>
      <w:lang w:val="en-US" w:eastAsia="zh-CN" w:bidi="ar-SA"/>
    </w:rPr>
  </w:style>
  <w:style w:type="paragraph" w:customStyle="1" w:styleId="18">
    <w:name w:val="TOC 标题1"/>
    <w:next w:val="1"/>
    <w:unhideWhenUsed/>
    <w:qFormat/>
    <w:uiPriority w:val="39"/>
    <w:pPr>
      <w:keepNext/>
      <w:keepLines/>
      <w:widowControl/>
      <w:numPr>
        <w:ilvl w:val="0"/>
        <w:numId w:val="0"/>
      </w:numPr>
      <w:spacing w:before="240" w:beforeLines="0" w:after="0" w:afterLines="0" w:line="259" w:lineRule="auto"/>
      <w:ind w:firstLine="40" w:firstLineChars="0"/>
      <w:jc w:val="left"/>
      <w:outlineLvl w:val="9"/>
    </w:pPr>
    <w:rPr>
      <w:rFonts w:ascii="Cambria" w:hAnsi="Cambria" w:eastAsia="宋体" w:cs="Times New Roman"/>
      <w:color w:val="366091"/>
      <w:kern w:val="0"/>
      <w:sz w:val="32"/>
      <w:szCs w:val="3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9</TotalTime>
  <ScaleCrop>false</ScaleCrop>
  <LinksUpToDate>false</LinksUpToDate>
  <CharactersWithSpaces>0</CharactersWithSpaces>
  <Application>WPS Office_10.8.2.6784_F1E327BC-269C-435d-A152-05C5408002CA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甫春莲</cp:lastModifiedBy>
  <cp:lastPrinted>2021-10-26T03:30:00Z</cp:lastPrinted>
  <dcterms:modified xsi:type="dcterms:W3CDTF">2021-12-23T11:10:15Z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2052-10.8.2.6784</vt:lpwstr>
  </property>
  <property fmtid="{D5CDD505-2E9C-101B-9397-08002B2CF9AE}" pid="3" name="ICV">
    <vt:lpwstr>48C61CB29D3F4D9384F5922CF0F7FFB4</vt:lpwstr>
  </property>
</Properties>
</file>