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textAlignment w:val="auto"/>
        <w:rPr>
          <w:rFonts w:hint="eastAsia" w:ascii="宋体" w:hAnsi="宋体" w:eastAsia="宋体" w:cs="宋体"/>
          <w:i w:val="0"/>
          <w:caps w:val="0"/>
          <w:color w:val="333333"/>
          <w:spacing w:val="0"/>
          <w:sz w:val="44"/>
          <w:szCs w:val="44"/>
          <w:shd w:val="clear" w:fill="FFFFFF"/>
          <w:lang w:val="en-US" w:eastAsia="zh-CN"/>
        </w:rPr>
      </w:pPr>
    </w:p>
    <w:p>
      <w:pPr>
        <w:pStyle w:val="17"/>
        <w:rPr>
          <w:rFonts w:hint="eastAsia" w:ascii="宋体" w:hAnsi="宋体" w:eastAsia="宋体" w:cs="宋体"/>
          <w:sz w:val="44"/>
          <w:szCs w:val="44"/>
          <w:lang w:val="en-US" w:eastAsia="zh-CN"/>
        </w:rPr>
      </w:pPr>
    </w:p>
    <w:p>
      <w:pPr>
        <w:bidi w:val="0"/>
        <w:jc w:val="center"/>
        <w:rPr>
          <w:rFonts w:hint="eastAsia" w:asciiTheme="minorEastAsia" w:hAnsiTheme="minorEastAsia" w:eastAsiaTheme="minorEastAsia" w:cstheme="minorEastAsia"/>
          <w:color w:val="auto"/>
          <w:sz w:val="44"/>
          <w:szCs w:val="44"/>
          <w:lang w:val="en-US" w:eastAsia="zh-CN"/>
        </w:rPr>
      </w:pPr>
      <w:r>
        <w:rPr>
          <w:rFonts w:hint="eastAsia" w:asciiTheme="minorEastAsia" w:hAnsiTheme="minorEastAsia" w:eastAsiaTheme="minorEastAsia" w:cstheme="minorEastAsia"/>
          <w:color w:val="auto"/>
          <w:sz w:val="44"/>
          <w:szCs w:val="44"/>
          <w:lang w:val="en-US" w:eastAsia="zh-CN"/>
        </w:rPr>
        <w:t>云南省医疗保障局  云南省卫生健康委员会</w:t>
      </w:r>
    </w:p>
    <w:p>
      <w:pPr>
        <w:bidi w:val="0"/>
        <w:jc w:val="center"/>
        <w:rPr>
          <w:rFonts w:hint="eastAsia" w:asciiTheme="minorEastAsia" w:hAnsiTheme="minorEastAsia" w:eastAsiaTheme="minorEastAsia" w:cstheme="minorEastAsia"/>
          <w:color w:val="auto"/>
          <w:sz w:val="44"/>
          <w:szCs w:val="44"/>
          <w:lang w:val="en-US" w:eastAsia="zh-CN"/>
        </w:rPr>
      </w:pPr>
      <w:r>
        <w:rPr>
          <w:rFonts w:hint="eastAsia" w:asciiTheme="minorEastAsia" w:hAnsiTheme="minorEastAsia" w:eastAsiaTheme="minorEastAsia" w:cstheme="minorEastAsia"/>
          <w:color w:val="auto"/>
          <w:sz w:val="44"/>
          <w:szCs w:val="44"/>
          <w:lang w:val="en-US" w:eastAsia="zh-CN"/>
        </w:rPr>
        <w:t>关于印发《推进全省DRG付费改革工作</w:t>
      </w:r>
    </w:p>
    <w:p>
      <w:pPr>
        <w:bidi w:val="0"/>
        <w:jc w:val="center"/>
        <w:rPr>
          <w:rFonts w:hint="eastAsia" w:asciiTheme="minorEastAsia" w:hAnsiTheme="minorEastAsia" w:eastAsiaTheme="minorEastAsia" w:cstheme="minorEastAsia"/>
          <w:color w:val="auto"/>
          <w:sz w:val="44"/>
          <w:szCs w:val="44"/>
          <w:lang w:val="en-US" w:eastAsia="zh-CN"/>
        </w:rPr>
      </w:pPr>
      <w:r>
        <w:rPr>
          <w:rFonts w:hint="eastAsia" w:asciiTheme="minorEastAsia" w:hAnsiTheme="minorEastAsia" w:eastAsiaTheme="minorEastAsia" w:cstheme="minorEastAsia"/>
          <w:color w:val="auto"/>
          <w:sz w:val="44"/>
          <w:szCs w:val="44"/>
          <w:lang w:val="en-US" w:eastAsia="zh-CN"/>
        </w:rPr>
        <w:t>实施方案》的通知</w:t>
      </w:r>
    </w:p>
    <w:p>
      <w:pPr>
        <w:keepNext w:val="0"/>
        <w:keepLines w:val="0"/>
        <w:pageBreakBefore w:val="0"/>
        <w:widowControl w:val="0"/>
        <w:kinsoku/>
        <w:wordWrap/>
        <w:overflowPunct/>
        <w:topLinePunct w:val="0"/>
        <w:autoSpaceDE/>
        <w:autoSpaceDN/>
        <w:bidi w:val="0"/>
        <w:adjustRightInd/>
        <w:snapToGrid/>
        <w:jc w:val="center"/>
        <w:textAlignment w:val="auto"/>
        <w:rPr>
          <w:rFonts w:hint="default" w:ascii="楷体_GB2312" w:hAnsi="楷体_GB2312" w:eastAsia="楷体_GB2312" w:cs="楷体_GB2312"/>
          <w:i w:val="0"/>
          <w:caps w:val="0"/>
          <w:color w:val="333333"/>
          <w:spacing w:val="0"/>
          <w:sz w:val="32"/>
          <w:szCs w:val="32"/>
          <w:shd w:val="clear" w:fill="FFFFFF"/>
          <w:lang w:val="en-US" w:eastAsia="zh-CN"/>
        </w:rPr>
      </w:pPr>
      <w:r>
        <w:rPr>
          <w:rFonts w:hint="default" w:ascii="楷体_GB2312" w:hAnsi="楷体_GB2312" w:eastAsia="楷体_GB2312" w:cs="楷体_GB2312"/>
          <w:i w:val="0"/>
          <w:caps w:val="0"/>
          <w:color w:val="333333"/>
          <w:spacing w:val="0"/>
          <w:sz w:val="32"/>
          <w:szCs w:val="32"/>
          <w:shd w:val="clear" w:fill="FFFFFF"/>
          <w:lang w:val="en-US" w:eastAsia="zh-CN"/>
        </w:rPr>
        <w:t>云医保〔2019〕166号</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仿宋_GB2312" w:hAnsi="仿宋_GB2312" w:eastAsia="仿宋_GB2312" w:cs="仿宋_GB2312"/>
          <w:i w:val="0"/>
          <w:caps w:val="0"/>
          <w:color w:val="333333"/>
          <w:spacing w:val="0"/>
          <w:sz w:val="32"/>
          <w:szCs w:val="32"/>
          <w:shd w:val="clear" w:fill="FFFFFF"/>
          <w:lang w:val="en-US" w:eastAsia="zh-CN"/>
        </w:rPr>
      </w:pPr>
    </w:p>
    <w:p>
      <w:pPr>
        <w:keepNext w:val="0"/>
        <w:keepLines w:val="0"/>
        <w:pageBreakBefore w:val="0"/>
        <w:widowControl w:val="0"/>
        <w:kinsoku/>
        <w:wordWrap/>
        <w:overflowPunct/>
        <w:topLinePunct w:val="0"/>
        <w:autoSpaceDE/>
        <w:autoSpaceDN/>
        <w:bidi w:val="0"/>
        <w:adjustRightInd/>
        <w:snapToGrid/>
        <w:textAlignment w:val="auto"/>
        <w:rPr>
          <w:rFonts w:hint="default" w:ascii="仿宋_GB2312" w:hAnsi="仿宋_GB2312" w:eastAsia="仿宋_GB2312" w:cs="仿宋_GB2312"/>
          <w:i w:val="0"/>
          <w:caps w:val="0"/>
          <w:color w:val="333333"/>
          <w:spacing w:val="0"/>
          <w:sz w:val="32"/>
          <w:szCs w:val="32"/>
          <w:shd w:val="clear" w:fill="FFFFFF"/>
          <w:lang w:val="en-US" w:eastAsia="zh-CN"/>
        </w:rPr>
      </w:pPr>
      <w:r>
        <w:rPr>
          <w:rFonts w:hint="default" w:ascii="仿宋_GB2312" w:hAnsi="仿宋_GB2312" w:eastAsia="仿宋_GB2312" w:cs="仿宋_GB2312"/>
          <w:i w:val="0"/>
          <w:caps w:val="0"/>
          <w:color w:val="333333"/>
          <w:spacing w:val="0"/>
          <w:sz w:val="32"/>
          <w:szCs w:val="32"/>
          <w:shd w:val="clear" w:fill="FFFFFF"/>
          <w:lang w:val="en-US" w:eastAsia="zh-CN"/>
        </w:rPr>
        <w:t>各州（市）医疗保障局、卫生健康委员会：</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仿宋_GB2312" w:hAnsi="仿宋_GB2312" w:eastAsia="仿宋_GB2312" w:cs="仿宋_GB2312"/>
          <w:i w:val="0"/>
          <w:caps w:val="0"/>
          <w:color w:val="333333"/>
          <w:spacing w:val="0"/>
          <w:sz w:val="32"/>
          <w:szCs w:val="32"/>
          <w:shd w:val="clear" w:fill="FFFFFF"/>
          <w:lang w:val="en-US" w:eastAsia="zh-CN"/>
        </w:rPr>
      </w:pPr>
      <w:r>
        <w:rPr>
          <w:rFonts w:hint="default" w:ascii="仿宋_GB2312" w:hAnsi="仿宋_GB2312" w:eastAsia="仿宋_GB2312" w:cs="仿宋_GB2312"/>
          <w:i w:val="0"/>
          <w:caps w:val="0"/>
          <w:color w:val="333333"/>
          <w:spacing w:val="0"/>
          <w:sz w:val="32"/>
          <w:szCs w:val="32"/>
          <w:shd w:val="clear" w:fill="FFFFFF"/>
          <w:lang w:val="en-US" w:eastAsia="zh-CN"/>
        </w:rPr>
        <w:t>为贯彻落实党中央、国务院的决策部署以及国家医疗保障局关于支付方式改革的要求，结合我省工作实际，经研究，现将《推进全省DRG付费改革工作实施方案》印发给你们，请遵照执行。</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仿宋_GB2312" w:hAnsi="仿宋_GB2312" w:eastAsia="仿宋_GB2312" w:cs="仿宋_GB2312"/>
          <w:i w:val="0"/>
          <w:caps w:val="0"/>
          <w:color w:val="333333"/>
          <w:spacing w:val="0"/>
          <w:sz w:val="32"/>
          <w:szCs w:val="32"/>
          <w:shd w:val="clear" w:fill="FFFFFF"/>
          <w:lang w:val="en-US" w:eastAsia="zh-CN"/>
        </w:rPr>
      </w:pP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仿宋_GB2312" w:hAnsi="仿宋_GB2312" w:eastAsia="仿宋_GB2312" w:cs="仿宋_GB2312"/>
          <w:i w:val="0"/>
          <w:caps w:val="0"/>
          <w:color w:val="333333"/>
          <w:spacing w:val="0"/>
          <w:sz w:val="32"/>
          <w:szCs w:val="32"/>
          <w:shd w:val="clear" w:fill="FFFFFF"/>
          <w:lang w:val="en-US" w:eastAsia="zh-CN"/>
        </w:rPr>
      </w:pP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仿宋_GB2312" w:hAnsi="仿宋_GB2312" w:eastAsia="仿宋_GB2312" w:cs="仿宋_GB2312"/>
          <w:i w:val="0"/>
          <w:caps w:val="0"/>
          <w:color w:val="333333"/>
          <w:spacing w:val="0"/>
          <w:sz w:val="32"/>
          <w:szCs w:val="32"/>
          <w:shd w:val="clear" w:fill="FFFFFF"/>
          <w:lang w:val="en-US" w:eastAsia="zh-CN"/>
        </w:rPr>
      </w:pP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仿宋_GB2312" w:hAnsi="仿宋_GB2312" w:eastAsia="仿宋_GB2312" w:cs="仿宋_GB2312"/>
          <w:i w:val="0"/>
          <w:caps w:val="0"/>
          <w:color w:val="333333"/>
          <w:spacing w:val="0"/>
          <w:sz w:val="32"/>
          <w:szCs w:val="32"/>
          <w:shd w:val="clear" w:fill="FFFFFF"/>
          <w:lang w:val="en-US" w:eastAsia="zh-CN"/>
        </w:rPr>
      </w:pPr>
      <w:r>
        <w:rPr>
          <w:rFonts w:hint="default" w:ascii="仿宋_GB2312" w:hAnsi="仿宋_GB2312" w:eastAsia="仿宋_GB2312" w:cs="仿宋_GB2312"/>
          <w:i w:val="0"/>
          <w:caps w:val="0"/>
          <w:color w:val="333333"/>
          <w:spacing w:val="0"/>
          <w:sz w:val="32"/>
          <w:szCs w:val="32"/>
          <w:shd w:val="clear" w:fill="FFFFFF"/>
          <w:lang w:val="en-US" w:eastAsia="zh-CN"/>
        </w:rPr>
        <w:t>云南省医疗保障局     云南省卫生健康委员会</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仿宋_GB2312" w:hAnsi="仿宋_GB2312" w:eastAsia="仿宋_GB2312" w:cs="仿宋_GB2312"/>
          <w:i w:val="0"/>
          <w:caps w:val="0"/>
          <w:color w:val="333333"/>
          <w:spacing w:val="0"/>
          <w:sz w:val="32"/>
          <w:szCs w:val="32"/>
          <w:shd w:val="clear" w:fill="FFFFFF"/>
          <w:lang w:val="en-US" w:eastAsia="zh-CN"/>
        </w:rPr>
      </w:pPr>
      <w:r>
        <w:rPr>
          <w:rFonts w:hint="default" w:ascii="仿宋_GB2312" w:hAnsi="仿宋_GB2312" w:eastAsia="仿宋_GB2312" w:cs="仿宋_GB2312"/>
          <w:i w:val="0"/>
          <w:caps w:val="0"/>
          <w:color w:val="333333"/>
          <w:spacing w:val="0"/>
          <w:sz w:val="32"/>
          <w:szCs w:val="32"/>
          <w:shd w:val="clear" w:fill="FFFFFF"/>
          <w:lang w:val="en-US" w:eastAsia="zh-CN"/>
        </w:rPr>
        <w:t xml:space="preserve">                     2019年12月</w:t>
      </w:r>
      <w:r>
        <w:rPr>
          <w:rFonts w:hint="eastAsia" w:ascii="仿宋_GB2312" w:hAnsi="仿宋_GB2312" w:eastAsia="仿宋_GB2312" w:cs="仿宋_GB2312"/>
          <w:i w:val="0"/>
          <w:caps w:val="0"/>
          <w:color w:val="333333"/>
          <w:spacing w:val="0"/>
          <w:sz w:val="32"/>
          <w:szCs w:val="32"/>
          <w:shd w:val="clear" w:fill="FFFFFF"/>
          <w:lang w:val="en-US" w:eastAsia="zh-CN"/>
        </w:rPr>
        <w:t>28</w:t>
      </w:r>
      <w:r>
        <w:rPr>
          <w:rFonts w:hint="default" w:ascii="仿宋_GB2312" w:hAnsi="仿宋_GB2312" w:eastAsia="仿宋_GB2312" w:cs="仿宋_GB2312"/>
          <w:i w:val="0"/>
          <w:caps w:val="0"/>
          <w:color w:val="333333"/>
          <w:spacing w:val="0"/>
          <w:sz w:val="32"/>
          <w:szCs w:val="32"/>
          <w:shd w:val="clear" w:fill="FFFFFF"/>
          <w:lang w:val="en-US" w:eastAsia="zh-CN"/>
        </w:rPr>
        <w:t>日</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仿宋_GB2312" w:hAnsi="仿宋_GB2312" w:eastAsia="仿宋_GB2312" w:cs="仿宋_GB2312"/>
          <w:i w:val="0"/>
          <w:caps w:val="0"/>
          <w:color w:val="333333"/>
          <w:spacing w:val="0"/>
          <w:sz w:val="32"/>
          <w:szCs w:val="32"/>
          <w:shd w:val="clear" w:fill="FFFFFF"/>
          <w:lang w:val="en-US" w:eastAsia="zh-CN"/>
        </w:rPr>
      </w:pP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仿宋_GB2312" w:hAnsi="仿宋_GB2312" w:eastAsia="仿宋_GB2312" w:cs="仿宋_GB2312"/>
          <w:i w:val="0"/>
          <w:caps w:val="0"/>
          <w:color w:val="333333"/>
          <w:spacing w:val="0"/>
          <w:sz w:val="32"/>
          <w:szCs w:val="32"/>
          <w:shd w:val="clear" w:fill="FFFFFF"/>
          <w:lang w:val="en-US" w:eastAsia="zh-CN"/>
        </w:rPr>
      </w:pP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仿宋_GB2312" w:hAnsi="仿宋_GB2312" w:eastAsia="仿宋_GB2312" w:cs="仿宋_GB2312"/>
          <w:i w:val="0"/>
          <w:caps w:val="0"/>
          <w:color w:val="333333"/>
          <w:spacing w:val="0"/>
          <w:sz w:val="32"/>
          <w:szCs w:val="32"/>
          <w:shd w:val="clear" w:fill="FFFFFF"/>
          <w:lang w:val="en-US" w:eastAsia="zh-CN"/>
        </w:rPr>
      </w:pPr>
    </w:p>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宋体" w:hAnsi="宋体" w:eastAsia="宋体" w:cs="宋体"/>
          <w:i w:val="0"/>
          <w:caps w:val="0"/>
          <w:color w:val="333333"/>
          <w:spacing w:val="0"/>
          <w:sz w:val="44"/>
          <w:szCs w:val="44"/>
          <w:shd w:val="clear" w:fill="FFFFFF"/>
          <w:lang w:val="en-US" w:eastAsia="zh-CN"/>
        </w:rPr>
      </w:pPr>
    </w:p>
    <w:p>
      <w:pPr>
        <w:pStyle w:val="17"/>
        <w:keepNext w:val="0"/>
        <w:keepLines w:val="0"/>
        <w:pageBreakBefore w:val="0"/>
        <w:widowControl w:val="0"/>
        <w:kinsoku/>
        <w:wordWrap/>
        <w:overflowPunct/>
        <w:topLinePunct w:val="0"/>
        <w:bidi w:val="0"/>
        <w:snapToGrid/>
        <w:ind w:firstLine="0" w:firstLineChars="0"/>
        <w:jc w:val="center"/>
        <w:textAlignment w:val="auto"/>
        <w:rPr>
          <w:rFonts w:hint="eastAsia" w:ascii="宋体" w:hAnsi="宋体" w:eastAsia="宋体" w:cs="宋体"/>
          <w:sz w:val="44"/>
          <w:szCs w:val="44"/>
          <w:lang w:val="en-US" w:eastAsia="zh-CN"/>
        </w:rPr>
      </w:pPr>
    </w:p>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仿宋_GB2312" w:hAnsi="仿宋_GB2312" w:eastAsia="仿宋_GB2312" w:cs="仿宋_GB2312"/>
          <w:i w:val="0"/>
          <w:caps w:val="0"/>
          <w:color w:val="333333"/>
          <w:spacing w:val="0"/>
          <w:sz w:val="32"/>
          <w:szCs w:val="32"/>
          <w:shd w:val="clear" w:fill="FFFFFF"/>
          <w:lang w:val="en-US" w:eastAsia="zh-CN"/>
        </w:rPr>
      </w:pPr>
      <w:r>
        <w:rPr>
          <w:rFonts w:hint="eastAsia" w:ascii="宋体" w:hAnsi="宋体" w:eastAsia="宋体" w:cs="宋体"/>
          <w:i w:val="0"/>
          <w:caps w:val="0"/>
          <w:color w:val="333333"/>
          <w:spacing w:val="0"/>
          <w:sz w:val="44"/>
          <w:szCs w:val="44"/>
          <w:shd w:val="clear" w:fill="FFFFFF"/>
          <w:lang w:val="en-US" w:eastAsia="zh-CN"/>
        </w:rPr>
        <w:t>推进全省DRG付费改革工作实施方案</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仿宋_GB2312" w:hAnsi="仿宋_GB2312" w:eastAsia="仿宋_GB2312" w:cs="仿宋_GB2312"/>
          <w:i w:val="0"/>
          <w:caps w:val="0"/>
          <w:color w:val="333333"/>
          <w:spacing w:val="0"/>
          <w:sz w:val="32"/>
          <w:szCs w:val="32"/>
          <w:shd w:val="clear" w:fill="FFFFFF"/>
          <w:lang w:val="en-US" w:eastAsia="zh-CN"/>
        </w:rPr>
      </w:pP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仿宋_GB2312" w:hAnsi="仿宋_GB2312" w:eastAsia="仿宋_GB2312" w:cs="仿宋_GB2312"/>
          <w:i w:val="0"/>
          <w:caps w:val="0"/>
          <w:color w:val="333333"/>
          <w:spacing w:val="0"/>
          <w:sz w:val="32"/>
          <w:szCs w:val="32"/>
          <w:shd w:val="clear" w:fill="FFFFFF"/>
          <w:lang w:val="en-US" w:eastAsia="zh-CN"/>
        </w:rPr>
      </w:pPr>
      <w:r>
        <w:rPr>
          <w:rFonts w:hint="default" w:ascii="仿宋_GB2312" w:hAnsi="仿宋_GB2312" w:eastAsia="仿宋_GB2312" w:cs="仿宋_GB2312"/>
          <w:i w:val="0"/>
          <w:caps w:val="0"/>
          <w:color w:val="333333"/>
          <w:spacing w:val="0"/>
          <w:sz w:val="32"/>
          <w:szCs w:val="32"/>
          <w:shd w:val="clear" w:fill="FFFFFF"/>
          <w:lang w:val="en-US" w:eastAsia="zh-CN"/>
        </w:rPr>
        <w:t>为贯彻落实《国务院办公厅关于进一步深化基本医疗保险支付方式改革的指导意见》（国办发〔2017〕55号）、《云南省人民政府办公厅关于推进基本医疗保险支付方式改革的实施意见》（云政办发〔2017〕98号）精神，扎实推进我省医保支付改革工作，探索建立适合我省医疗服务体系和医保管理能力的付费体系，制定实施方案：</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黑体" w:hAnsi="黑体" w:eastAsia="黑体" w:cs="黑体"/>
          <w:i w:val="0"/>
          <w:caps w:val="0"/>
          <w:color w:val="333333"/>
          <w:spacing w:val="0"/>
          <w:sz w:val="32"/>
          <w:szCs w:val="32"/>
          <w:shd w:val="clear" w:fill="FFFFFF"/>
          <w:lang w:val="en-US" w:eastAsia="zh-CN"/>
        </w:rPr>
      </w:pPr>
      <w:r>
        <w:rPr>
          <w:rFonts w:hint="eastAsia" w:ascii="黑体" w:hAnsi="黑体" w:eastAsia="黑体" w:cs="黑体"/>
          <w:i w:val="0"/>
          <w:caps w:val="0"/>
          <w:color w:val="333333"/>
          <w:spacing w:val="0"/>
          <w:sz w:val="32"/>
          <w:szCs w:val="32"/>
          <w:shd w:val="clear" w:fill="FFFFFF"/>
          <w:lang w:val="en-US" w:eastAsia="zh-CN"/>
        </w:rPr>
        <w:t>一、总体要求</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仿宋_GB2312" w:hAnsi="仿宋_GB2312" w:eastAsia="仿宋_GB2312" w:cs="仿宋_GB2312"/>
          <w:i w:val="0"/>
          <w:caps w:val="0"/>
          <w:color w:val="333333"/>
          <w:spacing w:val="0"/>
          <w:sz w:val="32"/>
          <w:szCs w:val="32"/>
          <w:shd w:val="clear" w:fill="FFFFFF"/>
          <w:lang w:val="en-US" w:eastAsia="zh-CN"/>
        </w:rPr>
      </w:pPr>
      <w:r>
        <w:rPr>
          <w:rFonts w:hint="default" w:ascii="仿宋_GB2312" w:hAnsi="仿宋_GB2312" w:eastAsia="仿宋_GB2312" w:cs="仿宋_GB2312"/>
          <w:i w:val="0"/>
          <w:caps w:val="0"/>
          <w:color w:val="333333"/>
          <w:spacing w:val="0"/>
          <w:sz w:val="32"/>
          <w:szCs w:val="32"/>
          <w:shd w:val="clear" w:fill="FFFFFF"/>
          <w:lang w:val="en-US" w:eastAsia="zh-CN"/>
        </w:rPr>
        <w:t>（一）改革目标。在国家医保局统一指导下，结合实际推进DRG付费改革，逐步建立以保证质量、控制成本、规范诊疗、提高医务人员积极性为核心的付费和绩效管理体系，发挥医保支付的激励约束作用。实现“完善一套政策、培养一支队伍、打造一个样板”的目标。力争2020年统一省本级和昆明市DRG付费分组标准；2021年全省不少于10个州（市）开展DRG付费改革工作；2022年统一全省DRG付费分组规则和标准，群众就医满意度不断提高，医保基金预算更加合理、分类方法更加科学、协同保障更加有力、资源配置更加有效的医保支付体系全面建成，探索符合中医药服务特点的支付方式。</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仿宋_GB2312" w:hAnsi="仿宋_GB2312" w:eastAsia="仿宋_GB2312" w:cs="仿宋_GB2312"/>
          <w:i w:val="0"/>
          <w:caps w:val="0"/>
          <w:color w:val="333333"/>
          <w:spacing w:val="0"/>
          <w:sz w:val="32"/>
          <w:szCs w:val="32"/>
          <w:shd w:val="clear" w:fill="FFFFFF"/>
          <w:lang w:val="en-US" w:eastAsia="zh-CN"/>
        </w:rPr>
      </w:pPr>
      <w:r>
        <w:rPr>
          <w:rFonts w:hint="default" w:ascii="仿宋_GB2312" w:hAnsi="仿宋_GB2312" w:eastAsia="仿宋_GB2312" w:cs="仿宋_GB2312"/>
          <w:i w:val="0"/>
          <w:caps w:val="0"/>
          <w:color w:val="333333"/>
          <w:spacing w:val="0"/>
          <w:sz w:val="32"/>
          <w:szCs w:val="32"/>
          <w:shd w:val="clear" w:fill="FFFFFF"/>
          <w:lang w:val="en-US" w:eastAsia="zh-CN"/>
        </w:rPr>
        <w:t>（一）基本原则</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仿宋_GB2312" w:hAnsi="仿宋_GB2312" w:eastAsia="仿宋_GB2312" w:cs="仿宋_GB2312"/>
          <w:i w:val="0"/>
          <w:caps w:val="0"/>
          <w:color w:val="333333"/>
          <w:spacing w:val="0"/>
          <w:sz w:val="32"/>
          <w:szCs w:val="32"/>
          <w:shd w:val="clear" w:fill="FFFFFF"/>
          <w:lang w:val="en-US" w:eastAsia="zh-CN"/>
        </w:rPr>
      </w:pPr>
      <w:r>
        <w:rPr>
          <w:rFonts w:hint="default" w:ascii="仿宋_GB2312" w:hAnsi="仿宋_GB2312" w:eastAsia="仿宋_GB2312" w:cs="仿宋_GB2312"/>
          <w:i w:val="0"/>
          <w:caps w:val="0"/>
          <w:color w:val="333333"/>
          <w:spacing w:val="0"/>
          <w:sz w:val="32"/>
          <w:szCs w:val="32"/>
          <w:shd w:val="clear" w:fill="FFFFFF"/>
          <w:lang w:val="en-US" w:eastAsia="zh-CN"/>
        </w:rPr>
        <w:t>1．因地制宜，探索支付方式改革。推进制度规范、标准互认、信息互通、资源共享，充分考虑基金支付能力、医保管理水平、医疗服务特点等因素，不断完善符合本地实际的医保支付方式。</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仿宋_GB2312" w:hAnsi="仿宋_GB2312" w:eastAsia="仿宋_GB2312" w:cs="仿宋_GB2312"/>
          <w:i w:val="0"/>
          <w:caps w:val="0"/>
          <w:color w:val="333333"/>
          <w:spacing w:val="0"/>
          <w:sz w:val="32"/>
          <w:szCs w:val="32"/>
          <w:shd w:val="clear" w:fill="FFFFFF"/>
          <w:lang w:val="en-US" w:eastAsia="zh-CN"/>
        </w:rPr>
      </w:pPr>
      <w:r>
        <w:rPr>
          <w:rFonts w:hint="default" w:ascii="仿宋_GB2312" w:hAnsi="仿宋_GB2312" w:eastAsia="仿宋_GB2312" w:cs="仿宋_GB2312"/>
          <w:i w:val="0"/>
          <w:caps w:val="0"/>
          <w:color w:val="333333"/>
          <w:spacing w:val="0"/>
          <w:sz w:val="32"/>
          <w:szCs w:val="32"/>
          <w:shd w:val="clear" w:fill="FFFFFF"/>
          <w:lang w:val="en-US" w:eastAsia="zh-CN"/>
        </w:rPr>
        <w:t>2．科学测算，确保基金安全稳定。健全基金分析研判机制，制定科学监测指标，对参保人员结构变化、基金收支平衡、医保支付方式改革、待遇支付水平等影响基金运行的因素进行全面评估，加强对基金风险的预警预判，强化收支预算，合理控制统筹基金累计结余水平，确保基金安全、稳定、可持续运行。</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仿宋_GB2312" w:hAnsi="仿宋_GB2312" w:eastAsia="仿宋_GB2312" w:cs="仿宋_GB2312"/>
          <w:i w:val="0"/>
          <w:caps w:val="0"/>
          <w:color w:val="333333"/>
          <w:spacing w:val="0"/>
          <w:sz w:val="32"/>
          <w:szCs w:val="32"/>
          <w:shd w:val="clear" w:fill="FFFFFF"/>
          <w:lang w:val="en-US" w:eastAsia="zh-CN"/>
        </w:rPr>
      </w:pPr>
      <w:r>
        <w:rPr>
          <w:rFonts w:hint="default" w:ascii="仿宋_GB2312" w:hAnsi="仿宋_GB2312" w:eastAsia="仿宋_GB2312" w:cs="仿宋_GB2312"/>
          <w:i w:val="0"/>
          <w:caps w:val="0"/>
          <w:color w:val="333333"/>
          <w:spacing w:val="0"/>
          <w:sz w:val="32"/>
          <w:szCs w:val="32"/>
          <w:shd w:val="clear" w:fill="FFFFFF"/>
          <w:lang w:val="en-US" w:eastAsia="zh-CN"/>
        </w:rPr>
        <w:t>3．规范流程，建立质量控制体系。坚持实事求是，依托专家团队，规范质控行为、提高质控质量、明确质控责任，建立标准化、规范化、常态化的质量控制标准和流程。</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仿宋_GB2312" w:hAnsi="仿宋_GB2312" w:eastAsia="仿宋_GB2312" w:cs="仿宋_GB2312"/>
          <w:i w:val="0"/>
          <w:caps w:val="0"/>
          <w:color w:val="333333"/>
          <w:spacing w:val="0"/>
          <w:sz w:val="32"/>
          <w:szCs w:val="32"/>
          <w:shd w:val="clear" w:fill="FFFFFF"/>
          <w:lang w:val="en-US" w:eastAsia="zh-CN"/>
        </w:rPr>
      </w:pPr>
      <w:r>
        <w:rPr>
          <w:rFonts w:hint="default" w:ascii="仿宋_GB2312" w:hAnsi="仿宋_GB2312" w:eastAsia="仿宋_GB2312" w:cs="仿宋_GB2312"/>
          <w:i w:val="0"/>
          <w:caps w:val="0"/>
          <w:color w:val="333333"/>
          <w:spacing w:val="0"/>
          <w:sz w:val="32"/>
          <w:szCs w:val="32"/>
          <w:shd w:val="clear" w:fill="FFFFFF"/>
          <w:lang w:val="en-US" w:eastAsia="zh-CN"/>
        </w:rPr>
        <w:t>4．完善考核，提高资金使用效率。坚持以收定支、收支平衡、略有结余，不断提高医保基金使用绩效，着力保障参保人员基本医疗需求，促进医疗卫生资源合理利用，防止过度医疗，筑牢保障底线。</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仿宋_GB2312" w:hAnsi="仿宋_GB2312" w:eastAsia="仿宋_GB2312" w:cs="仿宋_GB2312"/>
          <w:i w:val="0"/>
          <w:caps w:val="0"/>
          <w:color w:val="333333"/>
          <w:spacing w:val="0"/>
          <w:sz w:val="32"/>
          <w:szCs w:val="32"/>
          <w:shd w:val="clear" w:fill="FFFFFF"/>
          <w:lang w:val="en-US" w:eastAsia="zh-CN"/>
        </w:rPr>
      </w:pPr>
      <w:r>
        <w:rPr>
          <w:rFonts w:hint="default" w:ascii="仿宋_GB2312" w:hAnsi="仿宋_GB2312" w:eastAsia="仿宋_GB2312" w:cs="仿宋_GB2312"/>
          <w:i w:val="0"/>
          <w:caps w:val="0"/>
          <w:color w:val="333333"/>
          <w:spacing w:val="0"/>
          <w:sz w:val="32"/>
          <w:szCs w:val="32"/>
          <w:shd w:val="clear" w:fill="FFFFFF"/>
          <w:lang w:val="en-US" w:eastAsia="zh-CN"/>
        </w:rPr>
        <w:t>5．统分结合，形成试点工作合力。兼顾各地实际，坚持国家和省确定改革方向，制定试点标准，完善政策和配套管理办法，鼓励各试点地区将符合条件的医疗机构纳入试点范围，将支付方式改革作为推进医疗、医保、医药等联动改革的综合平台，发挥部门合力，多措并举，实现政策叠加效应。</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仿宋_GB2312" w:hAnsi="仿宋_GB2312" w:eastAsia="仿宋_GB2312" w:cs="仿宋_GB2312"/>
          <w:i w:val="0"/>
          <w:caps w:val="0"/>
          <w:color w:val="333333"/>
          <w:spacing w:val="0"/>
          <w:sz w:val="32"/>
          <w:szCs w:val="32"/>
          <w:shd w:val="clear" w:fill="FFFFFF"/>
          <w:lang w:val="en-US" w:eastAsia="zh-CN"/>
        </w:rPr>
      </w:pPr>
      <w:r>
        <w:rPr>
          <w:rFonts w:hint="eastAsia" w:ascii="黑体" w:hAnsi="黑体" w:eastAsia="黑体" w:cs="黑体"/>
          <w:i w:val="0"/>
          <w:caps w:val="0"/>
          <w:color w:val="333333"/>
          <w:spacing w:val="0"/>
          <w:sz w:val="32"/>
          <w:szCs w:val="32"/>
          <w:shd w:val="clear" w:fill="FFFFFF"/>
          <w:lang w:val="en-US" w:eastAsia="zh-CN"/>
        </w:rPr>
        <w:t>二、工作推进</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仿宋_GB2312" w:hAnsi="仿宋_GB2312" w:eastAsia="仿宋_GB2312" w:cs="仿宋_GB2312"/>
          <w:i w:val="0"/>
          <w:caps w:val="0"/>
          <w:color w:val="333333"/>
          <w:spacing w:val="0"/>
          <w:sz w:val="32"/>
          <w:szCs w:val="32"/>
          <w:shd w:val="clear" w:fill="FFFFFF"/>
          <w:lang w:val="en-US" w:eastAsia="zh-CN"/>
        </w:rPr>
      </w:pPr>
      <w:r>
        <w:rPr>
          <w:rFonts w:hint="default" w:ascii="仿宋_GB2312" w:hAnsi="仿宋_GB2312" w:eastAsia="仿宋_GB2312" w:cs="仿宋_GB2312"/>
          <w:i w:val="0"/>
          <w:caps w:val="0"/>
          <w:color w:val="333333"/>
          <w:spacing w:val="0"/>
          <w:sz w:val="32"/>
          <w:szCs w:val="32"/>
          <w:shd w:val="clear" w:fill="FFFFFF"/>
          <w:lang w:val="en-US" w:eastAsia="zh-CN"/>
        </w:rPr>
        <w:t>在国家及省统一指导下，按照“顶层设计、模拟运行、实际付费”三步走的思路，开展按疾病诊断相关分组（DRG）付费改革。</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仿宋_GB2312" w:hAnsi="仿宋_GB2312" w:eastAsia="仿宋_GB2312" w:cs="仿宋_GB2312"/>
          <w:i w:val="0"/>
          <w:caps w:val="0"/>
          <w:color w:val="333333"/>
          <w:spacing w:val="0"/>
          <w:sz w:val="32"/>
          <w:szCs w:val="32"/>
          <w:shd w:val="clear" w:fill="FFFFFF"/>
          <w:lang w:val="en-US" w:eastAsia="zh-CN"/>
        </w:rPr>
      </w:pPr>
      <w:r>
        <w:rPr>
          <w:rFonts w:hint="default" w:ascii="仿宋_GB2312" w:hAnsi="仿宋_GB2312" w:eastAsia="仿宋_GB2312" w:cs="仿宋_GB2312"/>
          <w:i w:val="0"/>
          <w:caps w:val="0"/>
          <w:color w:val="333333"/>
          <w:spacing w:val="0"/>
          <w:sz w:val="32"/>
          <w:szCs w:val="32"/>
          <w:shd w:val="clear" w:fill="FFFFFF"/>
          <w:lang w:val="en-US" w:eastAsia="zh-CN"/>
        </w:rPr>
        <w:t>（一）组建专家团队。组织全省专家力量成立推进疾病诊断相关分组（DRG）付费试点技术指导组，研究制定云南省疾病诊断相关分组（DRG）付费有关技术标准、配套政策；建立专家团队值守机制，指导医院规范采集医保结算清单、优化信息系统、对接15个标准、优化临床路径、建立动态维护机制等工作；指导各级医保经办机构和医院做好医保业务信息15个标准信息维护工作，按要求与国家医疗保障信息系统对接。</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仿宋_GB2312" w:hAnsi="仿宋_GB2312" w:eastAsia="仿宋_GB2312" w:cs="仿宋_GB2312"/>
          <w:i w:val="0"/>
          <w:caps w:val="0"/>
          <w:color w:val="333333"/>
          <w:spacing w:val="0"/>
          <w:sz w:val="32"/>
          <w:szCs w:val="32"/>
          <w:shd w:val="clear" w:fill="FFFFFF"/>
          <w:lang w:val="en-US" w:eastAsia="zh-CN"/>
        </w:rPr>
      </w:pPr>
      <w:r>
        <w:rPr>
          <w:rFonts w:hint="default" w:ascii="仿宋_GB2312" w:hAnsi="仿宋_GB2312" w:eastAsia="仿宋_GB2312" w:cs="仿宋_GB2312"/>
          <w:i w:val="0"/>
          <w:caps w:val="0"/>
          <w:color w:val="333333"/>
          <w:spacing w:val="0"/>
          <w:sz w:val="32"/>
          <w:szCs w:val="32"/>
          <w:shd w:val="clear" w:fill="FFFFFF"/>
          <w:lang w:val="en-US" w:eastAsia="zh-CN"/>
        </w:rPr>
        <w:t>（二）细化本地分组。以国家医疗保障局公布的主要诊断分类（MDC）和核心DRG分组（ADRG）为基础，按照统一分组规则细化调整本地分组、制定各组具体权重和费率，随着试点推进，根据国家版分组要求，进一步调整完善。</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仿宋_GB2312" w:hAnsi="仿宋_GB2312" w:eastAsia="仿宋_GB2312" w:cs="仿宋_GB2312"/>
          <w:i w:val="0"/>
          <w:caps w:val="0"/>
          <w:color w:val="333333"/>
          <w:spacing w:val="0"/>
          <w:sz w:val="32"/>
          <w:szCs w:val="32"/>
          <w:shd w:val="clear" w:fill="FFFFFF"/>
          <w:lang w:val="en-US" w:eastAsia="zh-CN"/>
        </w:rPr>
      </w:pPr>
      <w:r>
        <w:rPr>
          <w:rFonts w:hint="default" w:ascii="仿宋_GB2312" w:hAnsi="仿宋_GB2312" w:eastAsia="仿宋_GB2312" w:cs="仿宋_GB2312"/>
          <w:i w:val="0"/>
          <w:caps w:val="0"/>
          <w:color w:val="333333"/>
          <w:spacing w:val="0"/>
          <w:sz w:val="32"/>
          <w:szCs w:val="32"/>
          <w:shd w:val="clear" w:fill="FFFFFF"/>
          <w:lang w:val="en-US" w:eastAsia="zh-CN"/>
        </w:rPr>
        <w:t>（三）临床模拟运行。在推进疾病诊断相关分组（DRG）付费试点技术指导组指导下，根据初步形成的我省DRG付费分组方案，启动模拟运行，对符合条件的医疗机构进行城镇职工医保和城乡居民医保住院医疗费用模拟结算。模拟运行期间，按月收集整理各项数据报送推进疾病诊断相关分组（DRG）付费试点技术指导组，修正和完善DRG分组规范和标准。</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仿宋_GB2312" w:hAnsi="仿宋_GB2312" w:eastAsia="仿宋_GB2312" w:cs="仿宋_GB2312"/>
          <w:i w:val="0"/>
          <w:caps w:val="0"/>
          <w:color w:val="333333"/>
          <w:spacing w:val="0"/>
          <w:sz w:val="32"/>
          <w:szCs w:val="32"/>
          <w:shd w:val="clear" w:fill="FFFFFF"/>
          <w:lang w:val="en-US" w:eastAsia="zh-CN"/>
        </w:rPr>
      </w:pPr>
      <w:r>
        <w:rPr>
          <w:rFonts w:hint="default" w:ascii="仿宋_GB2312" w:hAnsi="仿宋_GB2312" w:eastAsia="仿宋_GB2312" w:cs="仿宋_GB2312"/>
          <w:i w:val="0"/>
          <w:caps w:val="0"/>
          <w:color w:val="333333"/>
          <w:spacing w:val="0"/>
          <w:sz w:val="32"/>
          <w:szCs w:val="32"/>
          <w:shd w:val="clear" w:fill="FFFFFF"/>
          <w:lang w:val="en-US" w:eastAsia="zh-CN"/>
        </w:rPr>
        <w:t>（四）开展实际付费。以昆明地区为试点，在符合条件的医院进行DRG付费实际结算。结合云南省医保结算清单大数据，制定开展DRG付费相关分组标准、支付权重，完善质控监管制度、考核标准，建立DRG付费规范动态调整机制和医保、卫生行政管理部门、医疗机构三方协作机制。</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仿宋_GB2312" w:hAnsi="仿宋_GB2312" w:eastAsia="仿宋_GB2312" w:cs="仿宋_GB2312"/>
          <w:i w:val="0"/>
          <w:caps w:val="0"/>
          <w:color w:val="333333"/>
          <w:spacing w:val="0"/>
          <w:sz w:val="32"/>
          <w:szCs w:val="32"/>
          <w:shd w:val="clear" w:fill="FFFFFF"/>
          <w:lang w:val="en-US" w:eastAsia="zh-CN"/>
        </w:rPr>
      </w:pPr>
      <w:r>
        <w:rPr>
          <w:rFonts w:hint="default" w:ascii="仿宋_GB2312" w:hAnsi="仿宋_GB2312" w:eastAsia="仿宋_GB2312" w:cs="仿宋_GB2312"/>
          <w:i w:val="0"/>
          <w:caps w:val="0"/>
          <w:color w:val="333333"/>
          <w:spacing w:val="0"/>
          <w:sz w:val="32"/>
          <w:szCs w:val="32"/>
          <w:shd w:val="clear" w:fill="FFFFFF"/>
          <w:lang w:val="en-US" w:eastAsia="zh-CN"/>
        </w:rPr>
        <w:t>（五）实现全省统一。充分应用全省各地开展DRG付费改革经验，根据实际付费情况，完善DRG付费分组标准和政策体系，制定符合我省实际的DRG分组规则和标准，通过3年时间实行全省统一。</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黑体" w:hAnsi="黑体" w:eastAsia="黑体" w:cs="黑体"/>
          <w:i w:val="0"/>
          <w:caps w:val="0"/>
          <w:color w:val="333333"/>
          <w:spacing w:val="0"/>
          <w:sz w:val="32"/>
          <w:szCs w:val="32"/>
          <w:shd w:val="clear" w:fill="FFFFFF"/>
          <w:lang w:val="en-US" w:eastAsia="zh-CN"/>
        </w:rPr>
      </w:pPr>
      <w:r>
        <w:rPr>
          <w:rFonts w:hint="eastAsia" w:ascii="黑体" w:hAnsi="黑体" w:eastAsia="黑体" w:cs="黑体"/>
          <w:i w:val="0"/>
          <w:caps w:val="0"/>
          <w:color w:val="333333"/>
          <w:spacing w:val="0"/>
          <w:sz w:val="32"/>
          <w:szCs w:val="32"/>
          <w:shd w:val="clear" w:fill="FFFFFF"/>
          <w:lang w:val="en-US" w:eastAsia="zh-CN"/>
        </w:rPr>
        <w:t>三、保障措施</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仿宋_GB2312" w:hAnsi="仿宋_GB2312" w:eastAsia="仿宋_GB2312" w:cs="仿宋_GB2312"/>
          <w:i w:val="0"/>
          <w:caps w:val="0"/>
          <w:color w:val="333333"/>
          <w:spacing w:val="0"/>
          <w:sz w:val="32"/>
          <w:szCs w:val="32"/>
          <w:shd w:val="clear" w:fill="FFFFFF"/>
          <w:lang w:val="en-US" w:eastAsia="zh-CN"/>
        </w:rPr>
      </w:pPr>
      <w:r>
        <w:rPr>
          <w:rFonts w:hint="default" w:ascii="仿宋_GB2312" w:hAnsi="仿宋_GB2312" w:eastAsia="仿宋_GB2312" w:cs="仿宋_GB2312"/>
          <w:i w:val="0"/>
          <w:caps w:val="0"/>
          <w:color w:val="333333"/>
          <w:spacing w:val="0"/>
          <w:sz w:val="32"/>
          <w:szCs w:val="32"/>
          <w:shd w:val="clear" w:fill="FFFFFF"/>
          <w:lang w:val="en-US" w:eastAsia="zh-CN"/>
        </w:rPr>
        <w:t>（一）分类开展培训。以技术指导组专家团队力量为核心，组建支付方式改革骨干专家师资队伍，参加由国家组织的专项培训，针对全省医保部门业务骨干人员、卫生行政管理部门及医疗机构相关人员进行DRG基础理论知识和DRG付费相关技术规范培训。完善DRG分组、权重、费率以及付费管理的技术路径，分层分类对医保经办机构、医疗机构涉及15个医保业务信息标准化的人员进行标准化、规范化培训。</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仿宋_GB2312" w:hAnsi="仿宋_GB2312" w:eastAsia="仿宋_GB2312" w:cs="仿宋_GB2312"/>
          <w:i w:val="0"/>
          <w:caps w:val="0"/>
          <w:color w:val="333333"/>
          <w:spacing w:val="0"/>
          <w:sz w:val="32"/>
          <w:szCs w:val="32"/>
          <w:shd w:val="clear" w:fill="FFFFFF"/>
          <w:lang w:val="en-US" w:eastAsia="zh-CN"/>
        </w:rPr>
      </w:pPr>
      <w:r>
        <w:rPr>
          <w:rFonts w:hint="default" w:ascii="仿宋_GB2312" w:hAnsi="仿宋_GB2312" w:eastAsia="仿宋_GB2312" w:cs="仿宋_GB2312"/>
          <w:i w:val="0"/>
          <w:caps w:val="0"/>
          <w:color w:val="333333"/>
          <w:spacing w:val="0"/>
          <w:sz w:val="32"/>
          <w:szCs w:val="32"/>
          <w:shd w:val="clear" w:fill="FFFFFF"/>
          <w:lang w:val="en-US" w:eastAsia="zh-CN"/>
        </w:rPr>
        <w:t>（二）做好数据传输。推进各医疗机构按照国家医疗保障局发布的业务信息标准做好信息化系统改造工作，按标准采集医保结算清单数据，提高医院数据质量，推动医保、医疗、医药数据信息共享。对不按时传送医保结算清单数据的医疗机构，可暂停医疗保险费用结算。对篡改医保结算清单数据、弄虚作假、套取医疗保险基金的情况，将按《社会保险法》及医疗保险有关规定严肃处理。</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仿宋_GB2312" w:hAnsi="仿宋_GB2312" w:eastAsia="仿宋_GB2312" w:cs="仿宋_GB2312"/>
          <w:i w:val="0"/>
          <w:caps w:val="0"/>
          <w:color w:val="333333"/>
          <w:spacing w:val="0"/>
          <w:sz w:val="32"/>
          <w:szCs w:val="32"/>
          <w:shd w:val="clear" w:fill="FFFFFF"/>
          <w:lang w:val="en-US" w:eastAsia="zh-CN"/>
        </w:rPr>
      </w:pPr>
      <w:r>
        <w:rPr>
          <w:rFonts w:hint="default" w:ascii="仿宋_GB2312" w:hAnsi="仿宋_GB2312" w:eastAsia="仿宋_GB2312" w:cs="仿宋_GB2312"/>
          <w:i w:val="0"/>
          <w:caps w:val="0"/>
          <w:color w:val="333333"/>
          <w:spacing w:val="0"/>
          <w:sz w:val="32"/>
          <w:szCs w:val="32"/>
          <w:shd w:val="clear" w:fill="FFFFFF"/>
          <w:lang w:val="en-US" w:eastAsia="zh-CN"/>
        </w:rPr>
        <w:t>（三）强化责任督导。建立全省医疗保障系统综合协调工作机制，加强沟通交流，形成合力，协同推动医保支付方式改革向纵深发展。认真落实责任，从完善政策体系、统一疾病编码、建立考核制度出发，将改革工作做实做细。建立定期报告工作机制，做好各主要工作环节的阶段性评估工作并及时上报；建立并完善评比通报制度，针对改革过程中出现的新情况、新问题，以汇报、抽查等方式不定时组织督导。总结完善实施过程中存在的不足，推广先进经验和做法，提出扩大范围建议。</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仿宋_GB2312" w:hAnsi="仿宋_GB2312" w:eastAsia="仿宋_GB2312" w:cs="仿宋_GB2312"/>
          <w:i w:val="0"/>
          <w:caps w:val="0"/>
          <w:color w:val="333333"/>
          <w:spacing w:val="0"/>
          <w:sz w:val="32"/>
          <w:szCs w:val="32"/>
          <w:shd w:val="clear" w:fill="FFFFFF"/>
          <w:lang w:val="en-US" w:eastAsia="zh-CN"/>
        </w:rPr>
      </w:pPr>
      <w:r>
        <w:rPr>
          <w:rFonts w:hint="default" w:ascii="仿宋_GB2312" w:hAnsi="仿宋_GB2312" w:eastAsia="仿宋_GB2312" w:cs="仿宋_GB2312"/>
          <w:i w:val="0"/>
          <w:caps w:val="0"/>
          <w:color w:val="333333"/>
          <w:spacing w:val="0"/>
          <w:sz w:val="32"/>
          <w:szCs w:val="32"/>
          <w:shd w:val="clear" w:fill="FFFFFF"/>
          <w:lang w:val="en-US" w:eastAsia="zh-CN"/>
        </w:rPr>
        <w:t>（四）加大宣传力度。进一步加强宣传，使医疗机构、医务人员和人民群众充分理解DRG付费改革在提高医疗资源的使用效率、改善医疗服务可及性、提高医务人员积极性方面的重要作用，支付方式改革营造良好的舆论氛围，推动医保支付方式改革向纵深发展，让改革成果更多转化为人民群众的获得感和幸福感。</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黑体" w:hAnsi="黑体" w:eastAsia="黑体" w:cs="黑体"/>
          <w:i w:val="0"/>
          <w:caps w:val="0"/>
          <w:color w:val="333333"/>
          <w:spacing w:val="0"/>
          <w:sz w:val="32"/>
          <w:szCs w:val="32"/>
          <w:shd w:val="clear" w:fill="FFFFFF"/>
          <w:lang w:val="en-US" w:eastAsia="zh-CN"/>
        </w:rPr>
      </w:pPr>
      <w:r>
        <w:rPr>
          <w:rFonts w:hint="eastAsia" w:ascii="黑体" w:hAnsi="黑体" w:eastAsia="黑体" w:cs="黑体"/>
          <w:i w:val="0"/>
          <w:caps w:val="0"/>
          <w:color w:val="333333"/>
          <w:spacing w:val="0"/>
          <w:sz w:val="32"/>
          <w:szCs w:val="32"/>
          <w:shd w:val="clear" w:fill="FFFFFF"/>
          <w:lang w:val="en-US" w:eastAsia="zh-CN"/>
        </w:rPr>
        <w:t>四、工作要求</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仿宋_GB2312" w:hAnsi="仿宋_GB2312" w:eastAsia="仿宋_GB2312" w:cs="仿宋_GB2312"/>
          <w:i w:val="0"/>
          <w:caps w:val="0"/>
          <w:color w:val="333333"/>
          <w:spacing w:val="0"/>
          <w:sz w:val="32"/>
          <w:szCs w:val="32"/>
          <w:shd w:val="clear" w:fill="FFFFFF"/>
          <w:lang w:val="en-US" w:eastAsia="zh-CN"/>
        </w:rPr>
      </w:pPr>
      <w:r>
        <w:rPr>
          <w:rFonts w:hint="default" w:ascii="仿宋_GB2312" w:hAnsi="仿宋_GB2312" w:eastAsia="仿宋_GB2312" w:cs="仿宋_GB2312"/>
          <w:i w:val="0"/>
          <w:caps w:val="0"/>
          <w:color w:val="333333"/>
          <w:spacing w:val="0"/>
          <w:sz w:val="32"/>
          <w:szCs w:val="32"/>
          <w:shd w:val="clear" w:fill="FFFFFF"/>
          <w:lang w:val="en-US" w:eastAsia="zh-CN"/>
        </w:rPr>
        <w:t>各地要高度重视DRG付费改革工作，统一思想、提高认识、加强领导，排出时间表、路线图，保障DRG支付方式改革相关的人财物的落实。要成立DRG付费改革工作组，加强组织协调，研究解决相关问题。在2020年12月底前制定</w:t>
      </w:r>
      <w:bookmarkStart w:id="0" w:name="_GoBack"/>
      <w:bookmarkEnd w:id="0"/>
      <w:r>
        <w:rPr>
          <w:rFonts w:hint="default" w:ascii="仿宋_GB2312" w:hAnsi="仿宋_GB2312" w:eastAsia="仿宋_GB2312" w:cs="仿宋_GB2312"/>
          <w:i w:val="0"/>
          <w:caps w:val="0"/>
          <w:color w:val="333333"/>
          <w:spacing w:val="0"/>
          <w:sz w:val="32"/>
          <w:szCs w:val="32"/>
          <w:shd w:val="clear" w:fill="FFFFFF"/>
          <w:lang w:val="en-US" w:eastAsia="zh-CN"/>
        </w:rPr>
        <w:t>出台DRG付费改革实施细则并组织制定相关配套政策，加强医保、质控、信息化等专业技术人员队伍能力建设；规范医疗机构填写病案首页，准确上传明细数据；加强对参保人员的就诊费用的核查，依规引导参保人员在基层就诊。</w:t>
      </w:r>
    </w:p>
    <w:sectPr>
      <w:headerReference r:id="rId3" w:type="default"/>
      <w:footerReference r:id="rId4" w:type="default"/>
      <w:pgSz w:w="11906" w:h="16838"/>
      <w:pgMar w:top="1962" w:right="1474" w:bottom="1848" w:left="1587" w:header="851" w:footer="992" w:gutter="0"/>
      <w:pgNumType w:fmt="numberInDash"/>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_GBK">
    <w:panose1 w:val="03000509000000000000"/>
    <w:charset w:val="86"/>
    <w:family w:val="auto"/>
    <w:pitch w:val="default"/>
    <w:sig w:usb0="00000001" w:usb1="080E0000" w:usb2="00000000" w:usb3="00000000" w:csb0="00040000" w:csb1="00000000"/>
  </w:font>
  <w:font w:name="Cambria">
    <w:panose1 w:val="02040503050406030204"/>
    <w:charset w:val="00"/>
    <w:family w:val="roman"/>
    <w:pitch w:val="default"/>
    <w:sig w:usb0="E00002FF" w:usb1="400004FF" w:usb2="00000000" w:usb3="00000000" w:csb0="2000019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小标宋简体">
    <w:altName w:val="方正舒体"/>
    <w:panose1 w:val="02000000000000000000"/>
    <w:charset w:val="86"/>
    <w:family w:val="auto"/>
    <w:pitch w:val="default"/>
    <w:sig w:usb0="00000000" w:usb1="00000000" w:usb2="00000012" w:usb3="00000000" w:csb0="00040001" w:csb1="00000000"/>
  </w:font>
  <w:font w:name="方正舒体">
    <w:panose1 w:val="02010601030101010101"/>
    <w:charset w:val="86"/>
    <w:family w:val="auto"/>
    <w:pitch w:val="default"/>
    <w:sig w:usb0="00000003" w:usb1="080E0000" w:usb2="00000000" w:usb3="00000000" w:csb0="00040000" w:csb1="00000000"/>
  </w:font>
  <w:font w:name="楷体_GB2312">
    <w:altName w:val="楷体"/>
    <w:panose1 w:val="02010609030101010101"/>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ind w:left="4788" w:leftChars="2280" w:firstLine="6400" w:firstLineChars="2000"/>
      <w:rPr>
        <w:rFonts w:hint="eastAsia" w:eastAsia="仿宋"/>
        <w:sz w:val="32"/>
        <w:szCs w:val="48"/>
        <w:lang w:val="en-US" w:eastAsia="zh-CN"/>
      </w:rPr>
    </w:pPr>
    <w:r>
      <w:rPr>
        <w:sz w:val="32"/>
      </w:rP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0"/>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s0lY7tAAAAAFAQAADwAAAAAAAAABACAAAAAi&#10;AAAAZHJzL2Rvd25yZXYueG1sUEsBAhQAFAAAAAgAh07iQObJgcoSAgAAEwQAAA4AAAAAAAAAAQAg&#10;AAAAHwEAAGRycy9lMm9Eb2MueG1sUEsFBgAAAAAGAAYAWQEAAKMFAAAAAA==&#10;">
              <v:fill on="f" focussize="0,0"/>
              <v:stroke on="f" weight="0.5pt"/>
              <v:imagedata o:title=""/>
              <o:lock v:ext="edit" aspectratio="f"/>
              <v:textbox inset="0mm,0mm,0mm,0mm" style="mso-fit-shape-to-text:t;">
                <w:txbxContent>
                  <w:p>
                    <w:pPr>
                      <w:pStyle w:val="10"/>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p>
                </w:txbxContent>
              </v:textbox>
            </v:shape>
          </w:pict>
        </mc:Fallback>
      </mc:AlternateContent>
    </w:r>
    <w:r>
      <w:rPr>
        <w:rFonts w:hint="eastAsia" w:eastAsia="仿宋"/>
        <w:sz w:val="32"/>
        <w:szCs w:val="48"/>
        <w:lang w:val="en-US" w:eastAsia="zh-CN"/>
      </w:rPr>
      <w:t xml:space="preserve">  </w:t>
    </w:r>
  </w:p>
  <w:p>
    <w:pPr>
      <w:pStyle w:val="11"/>
      <w:wordWrap w:val="0"/>
      <w:ind w:left="4788" w:leftChars="2280" w:firstLine="6400" w:firstLineChars="2000"/>
      <w:jc w:val="right"/>
      <w:rPr>
        <w:rFonts w:hint="eastAsia" w:ascii="宋体" w:hAnsi="宋体" w:eastAsia="宋体" w:cs="宋体"/>
        <w:b/>
        <w:bCs/>
        <w:color w:val="005192"/>
        <w:sz w:val="28"/>
        <w:szCs w:val="44"/>
        <w:lang w:val="en-US" w:eastAsia="zh-CN"/>
      </w:rPr>
    </w:pPr>
    <w:r>
      <w:rPr>
        <w:color w:val="FAFAFA"/>
        <w:sz w:val="32"/>
      </w:rPr>
      <mc:AlternateContent>
        <mc:Choice Requires="wps">
          <w:drawing>
            <wp:anchor distT="0" distB="0" distL="114300" distR="114300" simplePos="0" relativeHeight="251660288" behindDoc="0" locked="0" layoutInCell="1" allowOverlap="1">
              <wp:simplePos x="0" y="0"/>
              <wp:positionH relativeFrom="column">
                <wp:posOffset>0</wp:posOffset>
              </wp:positionH>
              <wp:positionV relativeFrom="paragraph">
                <wp:posOffset>74295</wp:posOffset>
              </wp:positionV>
              <wp:extent cx="5616575" cy="1905"/>
              <wp:effectExtent l="0" t="10795" r="3175" b="15875"/>
              <wp:wrapNone/>
              <wp:docPr id="5" name="直接连接符 5"/>
              <wp:cNvGraphicFramePr/>
              <a:graphic xmlns:a="http://schemas.openxmlformats.org/drawingml/2006/main">
                <a:graphicData uri="http://schemas.microsoft.com/office/word/2010/wordprocessingShape">
                  <wps:wsp>
                    <wps:cNvCnPr/>
                    <wps:spPr>
                      <a:xfrm>
                        <a:off x="0" y="0"/>
                        <a:ext cx="5616575" cy="1905"/>
                      </a:xfrm>
                      <a:prstGeom prst="line">
                        <a:avLst/>
                      </a:prstGeom>
                      <a:ln w="22225">
                        <a:solidFill>
                          <a:srgbClr val="00519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0pt;margin-top:5.85pt;height:0.15pt;width:442.25pt;z-index:251660288;mso-width-relative:page;mso-height-relative:page;" filled="f" stroked="t" coordsize="21600,21600" o:gfxdata="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">
              <v:fill on="f" focussize="0,0"/>
              <v:stroke weight="1.75pt" color="#005192 [3204]" miterlimit="8" joinstyle="miter"/>
              <v:imagedata o:title=""/>
              <o:lock v:ext="edit" aspectratio="f"/>
            </v:line>
          </w:pict>
        </mc:Fallback>
      </mc:AlternateContent>
    </w:r>
    <w:r>
      <w:rPr>
        <w:rFonts w:hint="eastAsia" w:eastAsia="仿宋"/>
        <w:color w:val="FAFAFA"/>
        <w:sz w:val="32"/>
        <w:szCs w:val="48"/>
        <w:lang w:val="en-US" w:eastAsia="zh-CN"/>
      </w:rPr>
      <w:t>X</w:t>
    </w:r>
    <w:r>
      <w:rPr>
        <w:rFonts w:hint="eastAsia" w:ascii="宋体" w:hAnsi="宋体" w:eastAsia="宋体" w:cs="宋体"/>
        <w:b/>
        <w:bCs/>
        <w:color w:val="005192"/>
        <w:sz w:val="28"/>
        <w:szCs w:val="44"/>
        <w:lang w:val="en-US" w:eastAsia="zh-CN"/>
      </w:rPr>
      <w:t xml:space="preserve">云南省医疗保障局发布     </w:t>
    </w:r>
  </w:p>
  <w:p>
    <w:pPr>
      <w:pStyle w:val="11"/>
      <w:wordWrap w:val="0"/>
      <w:ind w:left="4788" w:leftChars="2280" w:firstLine="5622" w:firstLineChars="2000"/>
      <w:jc w:val="right"/>
      <w:rPr>
        <w:rFonts w:hint="eastAsia" w:ascii="宋体" w:hAnsi="宋体" w:eastAsia="宋体" w:cs="宋体"/>
        <w:b/>
        <w:bCs/>
        <w:color w:val="005192"/>
        <w:sz w:val="28"/>
        <w:szCs w:val="44"/>
        <w:lang w:val="en-US" w:eastAsia="zh-C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keepNext w:val="0"/>
      <w:keepLines w:val="0"/>
      <w:pageBreakBefore w:val="0"/>
      <w:widowControl w:val="0"/>
      <w:kinsoku/>
      <w:wordWrap/>
      <w:overflowPunct/>
      <w:topLinePunct w:val="0"/>
      <w:autoSpaceDE/>
      <w:autoSpaceDN/>
      <w:bidi w:val="0"/>
      <w:adjustRightInd/>
      <w:snapToGrid w:val="0"/>
      <w:textAlignment w:val="center"/>
      <w:rPr>
        <w:rFonts w:hint="eastAsia" w:ascii="宋体" w:hAnsi="宋体" w:eastAsia="宋体" w:cs="宋体"/>
        <w:b/>
        <w:bCs/>
        <w:color w:val="005192"/>
        <w:sz w:val="32"/>
      </w:rPr>
    </w:pPr>
    <w:r>
      <w:rPr>
        <w:rFonts w:hint="eastAsia" w:ascii="宋体" w:hAnsi="宋体" w:eastAsia="宋体" w:cs="宋体"/>
        <w:b/>
        <w:bCs/>
        <w:color w:val="005192"/>
        <w:sz w:val="32"/>
      </w:rPr>
      <mc:AlternateContent>
        <mc:Choice Requires="wps">
          <w:drawing>
            <wp:anchor distT="0" distB="0" distL="114300" distR="114300" simplePos="0" relativeHeight="251659264" behindDoc="0" locked="0" layoutInCell="1" allowOverlap="1">
              <wp:simplePos x="0" y="0"/>
              <wp:positionH relativeFrom="column">
                <wp:posOffset>-3810</wp:posOffset>
              </wp:positionH>
              <wp:positionV relativeFrom="paragraph">
                <wp:posOffset>690245</wp:posOffset>
              </wp:positionV>
              <wp:extent cx="5620385" cy="0"/>
              <wp:effectExtent l="0" t="12700" r="18415" b="15875"/>
              <wp:wrapNone/>
              <wp:docPr id="4" name="直接连接符 4"/>
              <wp:cNvGraphicFramePr/>
              <a:graphic xmlns:a="http://schemas.openxmlformats.org/drawingml/2006/main">
                <a:graphicData uri="http://schemas.microsoft.com/office/word/2010/wordprocessingShape">
                  <wps:wsp>
                    <wps:cNvCnPr/>
                    <wps:spPr>
                      <a:xfrm>
                        <a:off x="4133850" y="864870"/>
                        <a:ext cx="5620385" cy="0"/>
                      </a:xfrm>
                      <a:prstGeom prst="line">
                        <a:avLst/>
                      </a:prstGeom>
                      <a:ln w="22225">
                        <a:solidFill>
                          <a:srgbClr val="00519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0.3pt;margin-top:54.35pt;height:0pt;width:442.55pt;z-index:251659264;mso-width-relative:page;mso-height-relative:page;" filled="f" stroked="t" coordsize="21600,21600" o:gfxdata="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1EdA1tUAAAAJAQAADwAAAAAAAAABACAA&#10;AAAiAAAAZHJzL2Rvd25yZXYueG1sUEsBAhQAFAAAAAgAh07iQOPuMRnXAQAAbwMAAA4AAAAAAAAA&#10;AQAgAAAAJAEAAGRycy9lMm9Eb2MueG1sUEsFBgAAAAAGAAYAWQEAAG0FAAAAAA==&#10;">
              <v:fill on="f" focussize="0,0"/>
              <v:stroke weight="1.75pt" color="#005192 [3204]" miterlimit="8" joinstyle="miter"/>
              <v:imagedata o:title=""/>
              <o:lock v:ext="edit" aspectratio="f"/>
            </v:line>
          </w:pict>
        </mc:Fallback>
      </mc:AlternateContent>
    </w:r>
  </w:p>
  <w:p>
    <w:pPr>
      <w:pStyle w:val="11"/>
      <w:keepNext w:val="0"/>
      <w:keepLines w:val="0"/>
      <w:pageBreakBefore w:val="0"/>
      <w:widowControl w:val="0"/>
      <w:kinsoku/>
      <w:wordWrap/>
      <w:overflowPunct/>
      <w:topLinePunct w:val="0"/>
      <w:autoSpaceDE/>
      <w:autoSpaceDN/>
      <w:bidi w:val="0"/>
      <w:adjustRightInd/>
      <w:snapToGrid w:val="0"/>
      <w:textAlignment w:val="center"/>
      <w:rPr>
        <w:rFonts w:hint="eastAsia" w:ascii="宋体" w:hAnsi="宋体" w:eastAsia="宋体" w:cs="宋体"/>
        <w:b/>
        <w:bCs/>
        <w:color w:val="005192"/>
        <w:sz w:val="32"/>
        <w:szCs w:val="32"/>
        <w:lang w:val="en-US" w:eastAsia="zh-CN"/>
      </w:rPr>
    </w:pPr>
    <w:r>
      <w:rPr>
        <w:rFonts w:hint="eastAsia" w:ascii="宋体" w:hAnsi="宋体" w:eastAsia="宋体" w:cs="宋体"/>
        <w:b/>
        <w:bCs/>
        <w:color w:val="005192"/>
        <w:sz w:val="32"/>
      </w:rPr>
      <w:drawing>
        <wp:inline distT="0" distB="0" distL="114300" distR="114300">
          <wp:extent cx="308610" cy="308610"/>
          <wp:effectExtent l="0" t="0" r="11430" b="11430"/>
          <wp:docPr id="6" name="图片 6" descr="国徽1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国徽1024"/>
                  <pic:cNvPicPr>
                    <a:picLocks noChangeAspect="1"/>
                  </pic:cNvPicPr>
                </pic:nvPicPr>
                <pic:blipFill>
                  <a:blip r:embed="rId1"/>
                  <a:stretch>
                    <a:fillRect/>
                  </a:stretch>
                </pic:blipFill>
                <pic:spPr>
                  <a:xfrm>
                    <a:off x="0" y="0"/>
                    <a:ext cx="308610" cy="308610"/>
                  </a:xfrm>
                  <a:prstGeom prst="rect">
                    <a:avLst/>
                  </a:prstGeom>
                </pic:spPr>
              </pic:pic>
            </a:graphicData>
          </a:graphic>
        </wp:inline>
      </w:drawing>
    </w:r>
    <w:r>
      <w:rPr>
        <w:rFonts w:hint="eastAsia" w:ascii="宋体" w:hAnsi="宋体" w:eastAsia="宋体" w:cs="宋体"/>
        <w:b/>
        <w:bCs/>
        <w:color w:val="005192"/>
        <w:sz w:val="32"/>
        <w:szCs w:val="32"/>
        <w:lang w:val="en-US" w:eastAsia="zh-CN"/>
      </w:rPr>
      <w:t>云南省医疗保障局行政规范性文件</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819005D"/>
    <w:multiLevelType w:val="multilevel"/>
    <w:tmpl w:val="2819005D"/>
    <w:lvl w:ilvl="0" w:tentative="0">
      <w:start w:val="1"/>
      <w:numFmt w:val="decimal"/>
      <w:pStyle w:val="2"/>
      <w:suff w:val="space"/>
      <w:lvlText w:val="%1"/>
      <w:lvlJc w:val="left"/>
      <w:pPr>
        <w:tabs>
          <w:tab w:val="left" w:pos="420"/>
        </w:tabs>
        <w:ind w:left="0" w:firstLine="0"/>
      </w:pPr>
      <w:rPr>
        <w:rFonts w:hint="eastAsia" w:ascii="宋体" w:hAnsi="宋体" w:eastAsia="宋体"/>
        <w:b/>
        <w:bCs/>
        <w:i w:val="0"/>
        <w:iCs w:val="0"/>
        <w:caps w:val="0"/>
        <w:strike w:val="0"/>
        <w:dstrike w:val="0"/>
        <w:vanish w:val="0"/>
        <w:color w:val="auto"/>
        <w:w w:val="100"/>
        <w:sz w:val="28"/>
        <w:szCs w:val="28"/>
        <w:u w:val="none"/>
        <w:vertAlign w:val="baseline"/>
      </w:rPr>
    </w:lvl>
    <w:lvl w:ilvl="1" w:tentative="0">
      <w:start w:val="1"/>
      <w:numFmt w:val="decimal"/>
      <w:pStyle w:val="3"/>
      <w:suff w:val="space"/>
      <w:lvlText w:val="%1.%2"/>
      <w:lvlJc w:val="left"/>
      <w:pPr>
        <w:tabs>
          <w:tab w:val="left" w:pos="420"/>
        </w:tabs>
        <w:ind w:left="-105" w:firstLine="0"/>
      </w:pPr>
      <w:rPr>
        <w:rFonts w:hint="eastAsia" w:ascii="宋体" w:hAnsi="宋体" w:eastAsia="宋体"/>
        <w:b/>
        <w:bCs/>
        <w:i w:val="0"/>
        <w:iCs w:val="0"/>
        <w:vanish w:val="0"/>
        <w:color w:val="auto"/>
        <w:w w:val="100"/>
        <w:sz w:val="24"/>
        <w:szCs w:val="24"/>
        <w:u w:val="none"/>
      </w:rPr>
    </w:lvl>
    <w:lvl w:ilvl="2" w:tentative="0">
      <w:start w:val="1"/>
      <w:numFmt w:val="decimal"/>
      <w:pStyle w:val="4"/>
      <w:suff w:val="space"/>
      <w:lvlText w:val="%1.%2.%3"/>
      <w:lvlJc w:val="left"/>
      <w:pPr>
        <w:tabs>
          <w:tab w:val="left" w:pos="420"/>
        </w:tabs>
        <w:ind w:left="0" w:firstLine="0"/>
      </w:pPr>
      <w:rPr>
        <w:rFonts w:hint="eastAsia" w:ascii="宋体" w:hAnsi="宋体" w:eastAsia="宋体"/>
        <w:b/>
        <w:bCs/>
        <w:i w:val="0"/>
        <w:iCs w:val="0"/>
        <w:vanish w:val="0"/>
        <w:color w:val="auto"/>
        <w:w w:val="100"/>
        <w:sz w:val="24"/>
        <w:szCs w:val="24"/>
        <w:u w:val="none"/>
      </w:rPr>
    </w:lvl>
    <w:lvl w:ilvl="3" w:tentative="0">
      <w:start w:val="1"/>
      <w:numFmt w:val="decimal"/>
      <w:pStyle w:val="5"/>
      <w:suff w:val="space"/>
      <w:lvlText w:val="%1.%2.%3.%4"/>
      <w:lvlJc w:val="left"/>
      <w:pPr>
        <w:tabs>
          <w:tab w:val="left" w:pos="420"/>
        </w:tabs>
        <w:ind w:left="0" w:firstLine="0"/>
      </w:pPr>
      <w:rPr>
        <w:rFonts w:hint="eastAsia" w:ascii="宋体" w:hAnsi="宋体" w:eastAsia="宋体"/>
        <w:b/>
        <w:bCs/>
        <w:i w:val="0"/>
        <w:iCs w:val="0"/>
        <w:vanish w:val="0"/>
        <w:color w:val="auto"/>
        <w:w w:val="100"/>
        <w:sz w:val="21"/>
        <w:szCs w:val="21"/>
        <w:u w:val="none"/>
      </w:rPr>
    </w:lvl>
    <w:lvl w:ilvl="4" w:tentative="0">
      <w:start w:val="1"/>
      <w:numFmt w:val="decimal"/>
      <w:pStyle w:val="6"/>
      <w:suff w:val="space"/>
      <w:lvlText w:val="%1.%2.%3.%4.%5"/>
      <w:lvlJc w:val="left"/>
      <w:pPr>
        <w:tabs>
          <w:tab w:val="left" w:pos="420"/>
        </w:tabs>
        <w:ind w:left="0" w:firstLine="0"/>
      </w:pPr>
      <w:rPr>
        <w:rFonts w:hint="eastAsia" w:ascii="宋体" w:hAnsi="宋体" w:eastAsia="宋体"/>
        <w:b/>
        <w:bCs/>
        <w:i w:val="0"/>
        <w:iCs w:val="0"/>
        <w:vanish w:val="0"/>
        <w:color w:val="auto"/>
        <w:w w:val="100"/>
        <w:sz w:val="21"/>
        <w:szCs w:val="21"/>
        <w:u w:val="none"/>
      </w:rPr>
    </w:lvl>
    <w:lvl w:ilvl="5" w:tentative="0">
      <w:start w:val="1"/>
      <w:numFmt w:val="decimal"/>
      <w:suff w:val="space"/>
      <w:lvlText w:val="%1.%2.%3.%4.%5.%6"/>
      <w:lvlJc w:val="left"/>
      <w:pPr>
        <w:tabs>
          <w:tab w:val="left" w:pos="420"/>
        </w:tabs>
        <w:ind w:left="0" w:firstLine="0"/>
      </w:pPr>
      <w:rPr>
        <w:rFonts w:hint="eastAsia" w:ascii="宋体" w:hAnsi="宋体" w:eastAsia="宋体"/>
        <w:b/>
        <w:bCs/>
        <w:i w:val="0"/>
        <w:iCs w:val="0"/>
        <w:vanish w:val="0"/>
        <w:color w:val="auto"/>
        <w:w w:val="100"/>
        <w:sz w:val="21"/>
        <w:szCs w:val="21"/>
        <w:u w:val="none"/>
      </w:rPr>
    </w:lvl>
    <w:lvl w:ilvl="6" w:tentative="0">
      <w:start w:val="1"/>
      <w:numFmt w:val="decimal"/>
      <w:suff w:val="space"/>
      <w:lvlText w:val="%1.%2.%3.%4.%5.%6.%7"/>
      <w:lvlJc w:val="left"/>
      <w:pPr>
        <w:tabs>
          <w:tab w:val="left" w:pos="420"/>
        </w:tabs>
        <w:ind w:left="0" w:firstLine="0"/>
      </w:pPr>
      <w:rPr>
        <w:rFonts w:hint="eastAsia" w:ascii="宋体" w:hAnsi="宋体" w:eastAsia="宋体"/>
        <w:b/>
        <w:bCs/>
        <w:i w:val="0"/>
        <w:iCs w:val="0"/>
        <w:vanish w:val="0"/>
        <w:color w:val="auto"/>
        <w:w w:val="100"/>
        <w:sz w:val="21"/>
        <w:szCs w:val="21"/>
        <w:u w:val="none"/>
      </w:rPr>
    </w:lvl>
    <w:lvl w:ilvl="7" w:tentative="0">
      <w:start w:val="1"/>
      <w:numFmt w:val="decimal"/>
      <w:suff w:val="space"/>
      <w:lvlText w:val="%1.%2.%3.%4.%5.%6.%7.%8"/>
      <w:lvlJc w:val="left"/>
      <w:pPr>
        <w:tabs>
          <w:tab w:val="left" w:pos="420"/>
        </w:tabs>
        <w:ind w:left="0" w:firstLine="0"/>
      </w:pPr>
      <w:rPr>
        <w:rFonts w:hint="eastAsia" w:ascii="宋体" w:hAnsi="宋体" w:eastAsia="宋体"/>
        <w:b/>
        <w:bCs/>
        <w:i w:val="0"/>
        <w:iCs w:val="0"/>
        <w:vanish w:val="0"/>
        <w:color w:val="auto"/>
        <w:w w:val="100"/>
        <w:sz w:val="21"/>
        <w:szCs w:val="21"/>
        <w:u w:val="none"/>
      </w:rPr>
    </w:lvl>
    <w:lvl w:ilvl="8" w:tentative="0">
      <w:start w:val="1"/>
      <w:numFmt w:val="decimal"/>
      <w:suff w:val="space"/>
      <w:lvlText w:val="%1.%2.%3.%4.%5.%6.%7.%8.%9"/>
      <w:lvlJc w:val="left"/>
      <w:pPr>
        <w:tabs>
          <w:tab w:val="left" w:pos="420"/>
        </w:tabs>
        <w:ind w:left="0" w:firstLine="0"/>
      </w:pPr>
      <w:rPr>
        <w:rFonts w:hint="eastAsia" w:ascii="宋体" w:hAnsi="宋体" w:eastAsia="宋体"/>
        <w:b/>
        <w:bCs/>
        <w:i w:val="0"/>
        <w:iCs w:val="0"/>
        <w:vanish w:val="0"/>
        <w:color w:val="auto"/>
        <w:w w:val="100"/>
        <w:sz w:val="21"/>
        <w:szCs w:val="21"/>
        <w:u w:val="no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val="0"/>
  <w:bordersDoNotSurroundFooter w:val="0"/>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3"/>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272241"/>
    <w:rsid w:val="00AA27D4"/>
    <w:rsid w:val="00C54EEA"/>
    <w:rsid w:val="00C835ED"/>
    <w:rsid w:val="010F3DDD"/>
    <w:rsid w:val="011F5BCA"/>
    <w:rsid w:val="015841B4"/>
    <w:rsid w:val="019E71BD"/>
    <w:rsid w:val="01E00C12"/>
    <w:rsid w:val="02160E34"/>
    <w:rsid w:val="021B6257"/>
    <w:rsid w:val="02407E37"/>
    <w:rsid w:val="03C5417D"/>
    <w:rsid w:val="04360B78"/>
    <w:rsid w:val="04B679C3"/>
    <w:rsid w:val="050801B0"/>
    <w:rsid w:val="0661613A"/>
    <w:rsid w:val="06D36447"/>
    <w:rsid w:val="073950D5"/>
    <w:rsid w:val="080F63D8"/>
    <w:rsid w:val="08E505F2"/>
    <w:rsid w:val="09341458"/>
    <w:rsid w:val="099514A1"/>
    <w:rsid w:val="09FF7F32"/>
    <w:rsid w:val="0AAE6AAB"/>
    <w:rsid w:val="0B0912D7"/>
    <w:rsid w:val="0CE74E21"/>
    <w:rsid w:val="0F040B48"/>
    <w:rsid w:val="11C934C6"/>
    <w:rsid w:val="11EC625E"/>
    <w:rsid w:val="13462986"/>
    <w:rsid w:val="1447025F"/>
    <w:rsid w:val="14497071"/>
    <w:rsid w:val="14587791"/>
    <w:rsid w:val="15103CF8"/>
    <w:rsid w:val="152206F7"/>
    <w:rsid w:val="152D2DCA"/>
    <w:rsid w:val="1573530D"/>
    <w:rsid w:val="15886EF0"/>
    <w:rsid w:val="15F20827"/>
    <w:rsid w:val="17F16F56"/>
    <w:rsid w:val="181C76BE"/>
    <w:rsid w:val="192E664C"/>
    <w:rsid w:val="195436E9"/>
    <w:rsid w:val="19DD1972"/>
    <w:rsid w:val="1A022DD1"/>
    <w:rsid w:val="1A5250C1"/>
    <w:rsid w:val="1B5662F7"/>
    <w:rsid w:val="1B903DB2"/>
    <w:rsid w:val="1BCA18AE"/>
    <w:rsid w:val="1C141F86"/>
    <w:rsid w:val="1C4B037C"/>
    <w:rsid w:val="1DEC284C"/>
    <w:rsid w:val="1E6523AC"/>
    <w:rsid w:val="1F4432CB"/>
    <w:rsid w:val="208C3A47"/>
    <w:rsid w:val="2211015F"/>
    <w:rsid w:val="221C31F5"/>
    <w:rsid w:val="22440422"/>
    <w:rsid w:val="22852558"/>
    <w:rsid w:val="2431259B"/>
    <w:rsid w:val="24542A4B"/>
    <w:rsid w:val="252B18FB"/>
    <w:rsid w:val="25BC0296"/>
    <w:rsid w:val="25F72AEE"/>
    <w:rsid w:val="273A74F0"/>
    <w:rsid w:val="27DE367B"/>
    <w:rsid w:val="282C4413"/>
    <w:rsid w:val="2928532F"/>
    <w:rsid w:val="2A182153"/>
    <w:rsid w:val="2A1C1FC5"/>
    <w:rsid w:val="2A2E7855"/>
    <w:rsid w:val="2B2E72AB"/>
    <w:rsid w:val="2B420351"/>
    <w:rsid w:val="2C2379BF"/>
    <w:rsid w:val="2D5C67E7"/>
    <w:rsid w:val="2F6F1730"/>
    <w:rsid w:val="2FC920C5"/>
    <w:rsid w:val="31690CD8"/>
    <w:rsid w:val="31A15F24"/>
    <w:rsid w:val="31C30C1A"/>
    <w:rsid w:val="32FE6D0F"/>
    <w:rsid w:val="3307777B"/>
    <w:rsid w:val="34CA4696"/>
    <w:rsid w:val="36843254"/>
    <w:rsid w:val="36DB46CF"/>
    <w:rsid w:val="395347B5"/>
    <w:rsid w:val="397F3FCC"/>
    <w:rsid w:val="39A232A0"/>
    <w:rsid w:val="39E745AA"/>
    <w:rsid w:val="3AD574BB"/>
    <w:rsid w:val="3B5A6BBB"/>
    <w:rsid w:val="3CC65204"/>
    <w:rsid w:val="3CF84984"/>
    <w:rsid w:val="3D1B7D49"/>
    <w:rsid w:val="3E677953"/>
    <w:rsid w:val="3E840C6A"/>
    <w:rsid w:val="3EDA13A6"/>
    <w:rsid w:val="3F7C3FDA"/>
    <w:rsid w:val="3F9F14DB"/>
    <w:rsid w:val="42522227"/>
    <w:rsid w:val="42F058B7"/>
    <w:rsid w:val="433648BA"/>
    <w:rsid w:val="436109F6"/>
    <w:rsid w:val="4373436C"/>
    <w:rsid w:val="43CE2BEC"/>
    <w:rsid w:val="441A38D4"/>
    <w:rsid w:val="46634788"/>
    <w:rsid w:val="47D3046F"/>
    <w:rsid w:val="48041351"/>
    <w:rsid w:val="481D74FB"/>
    <w:rsid w:val="488E42C9"/>
    <w:rsid w:val="4A672C72"/>
    <w:rsid w:val="4ABB034A"/>
    <w:rsid w:val="4AF562BD"/>
    <w:rsid w:val="4B9B3A30"/>
    <w:rsid w:val="4BC77339"/>
    <w:rsid w:val="4C164D19"/>
    <w:rsid w:val="4C9236C5"/>
    <w:rsid w:val="4CC53CC9"/>
    <w:rsid w:val="4DB5279C"/>
    <w:rsid w:val="4ED533A1"/>
    <w:rsid w:val="501C2E48"/>
    <w:rsid w:val="505C172E"/>
    <w:rsid w:val="517B1258"/>
    <w:rsid w:val="52500439"/>
    <w:rsid w:val="52710CF1"/>
    <w:rsid w:val="52990A6C"/>
    <w:rsid w:val="52C12107"/>
    <w:rsid w:val="52F46F0B"/>
    <w:rsid w:val="53877224"/>
    <w:rsid w:val="53C56327"/>
    <w:rsid w:val="53D8014D"/>
    <w:rsid w:val="53E105FA"/>
    <w:rsid w:val="54101A0E"/>
    <w:rsid w:val="55E064E0"/>
    <w:rsid w:val="572C6D10"/>
    <w:rsid w:val="57940BED"/>
    <w:rsid w:val="581A015D"/>
    <w:rsid w:val="585B0F82"/>
    <w:rsid w:val="59343DA7"/>
    <w:rsid w:val="59445BC2"/>
    <w:rsid w:val="5B7C50FD"/>
    <w:rsid w:val="5C184F01"/>
    <w:rsid w:val="5D512D7C"/>
    <w:rsid w:val="5D835179"/>
    <w:rsid w:val="5DC34279"/>
    <w:rsid w:val="5E773BED"/>
    <w:rsid w:val="5FC42B50"/>
    <w:rsid w:val="6004528C"/>
    <w:rsid w:val="608816D1"/>
    <w:rsid w:val="60EF4E7F"/>
    <w:rsid w:val="61455008"/>
    <w:rsid w:val="62362426"/>
    <w:rsid w:val="6370472C"/>
    <w:rsid w:val="63733267"/>
    <w:rsid w:val="63FD1752"/>
    <w:rsid w:val="665233C1"/>
    <w:rsid w:val="670E76AF"/>
    <w:rsid w:val="67451BAE"/>
    <w:rsid w:val="67B24991"/>
    <w:rsid w:val="6AD9688B"/>
    <w:rsid w:val="6CAC71E4"/>
    <w:rsid w:val="6D0E3F22"/>
    <w:rsid w:val="6D303D08"/>
    <w:rsid w:val="6DBC77E8"/>
    <w:rsid w:val="6E845B51"/>
    <w:rsid w:val="6ED60212"/>
    <w:rsid w:val="6F360F3E"/>
    <w:rsid w:val="6FCF00AA"/>
    <w:rsid w:val="701D6125"/>
    <w:rsid w:val="717C3997"/>
    <w:rsid w:val="72E17E80"/>
    <w:rsid w:val="73C14A57"/>
    <w:rsid w:val="749609C5"/>
    <w:rsid w:val="75423411"/>
    <w:rsid w:val="754B74E1"/>
    <w:rsid w:val="75D30027"/>
    <w:rsid w:val="768C48B4"/>
    <w:rsid w:val="77327CAF"/>
    <w:rsid w:val="78947BD8"/>
    <w:rsid w:val="7A901095"/>
    <w:rsid w:val="7BA8267B"/>
    <w:rsid w:val="7C5611AA"/>
    <w:rsid w:val="7C9011D9"/>
    <w:rsid w:val="7CB37580"/>
    <w:rsid w:val="7CF20B96"/>
    <w:rsid w:val="7DC651C5"/>
    <w:rsid w:val="7E207132"/>
    <w:rsid w:val="7F087623"/>
    <w:rsid w:val="7F617B36"/>
    <w:rsid w:val="7FCC2834"/>
    <w:rsid w:val="7FEC4743"/>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9"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iPriority="39" w:semiHidden="0" w:name="toc 1"/>
    <w:lsdException w:qFormat="1" w:uiPriority="39" w:semiHidden="0" w:name="toc 2"/>
    <w:lsdException w:qFormat="1" w:uiPriority="39" w:semiHidden="0" w:name="toc 3"/>
    <w:lsdException w:qFormat="1" w:uiPriority="39"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qFormat="1"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9"/>
    <w:pPr>
      <w:keepNext/>
      <w:keepLines/>
      <w:widowControl w:val="0"/>
      <w:numPr>
        <w:ilvl w:val="0"/>
        <w:numId w:val="1"/>
      </w:numPr>
      <w:spacing w:before="340" w:beforeLines="50" w:after="330" w:afterLines="50" w:line="360" w:lineRule="auto"/>
      <w:ind w:firstLine="40" w:firstLineChars="0"/>
      <w:jc w:val="left"/>
      <w:outlineLvl w:val="0"/>
    </w:pPr>
    <w:rPr>
      <w:rFonts w:ascii="宋体" w:hAnsi="宋体" w:eastAsia="宋体" w:cs="宋体"/>
      <w:b/>
      <w:bCs/>
      <w:kern w:val="44"/>
      <w:sz w:val="28"/>
      <w:szCs w:val="28"/>
      <w:lang w:val="en-US" w:eastAsia="zh-CN" w:bidi="ar-SA"/>
    </w:rPr>
  </w:style>
  <w:style w:type="paragraph" w:styleId="3">
    <w:name w:val="heading 2"/>
    <w:next w:val="1"/>
    <w:unhideWhenUsed/>
    <w:qFormat/>
    <w:uiPriority w:val="9"/>
    <w:pPr>
      <w:keepNext/>
      <w:keepLines/>
      <w:widowControl w:val="0"/>
      <w:numPr>
        <w:ilvl w:val="1"/>
        <w:numId w:val="1"/>
      </w:numPr>
      <w:spacing w:before="260" w:beforeLines="50" w:after="260" w:afterLines="50" w:line="360" w:lineRule="auto"/>
      <w:ind w:firstLine="40" w:firstLineChars="0"/>
      <w:jc w:val="left"/>
      <w:outlineLvl w:val="1"/>
    </w:pPr>
    <w:rPr>
      <w:rFonts w:ascii="宋体" w:hAnsi="宋体" w:eastAsia="宋体" w:cs="宋体"/>
      <w:b/>
      <w:bCs/>
      <w:kern w:val="0"/>
      <w:sz w:val="24"/>
      <w:szCs w:val="24"/>
      <w:lang w:val="en-US" w:eastAsia="zh-CN" w:bidi="ar-SA"/>
    </w:rPr>
  </w:style>
  <w:style w:type="paragraph" w:styleId="4">
    <w:name w:val="heading 3"/>
    <w:next w:val="1"/>
    <w:unhideWhenUsed/>
    <w:qFormat/>
    <w:uiPriority w:val="9"/>
    <w:pPr>
      <w:keepNext/>
      <w:keepLines/>
      <w:widowControl w:val="0"/>
      <w:numPr>
        <w:ilvl w:val="2"/>
        <w:numId w:val="1"/>
      </w:numPr>
      <w:spacing w:before="260" w:beforeLines="50" w:after="260" w:afterLines="50" w:line="360" w:lineRule="auto"/>
      <w:ind w:firstLine="40" w:firstLineChars="0"/>
      <w:jc w:val="left"/>
      <w:outlineLvl w:val="2"/>
    </w:pPr>
    <w:rPr>
      <w:rFonts w:ascii="宋体" w:hAnsi="宋体" w:eastAsia="宋体" w:cs="宋体"/>
      <w:b/>
      <w:bCs/>
      <w:kern w:val="0"/>
      <w:sz w:val="24"/>
      <w:szCs w:val="24"/>
      <w:lang w:val="en-US" w:eastAsia="zh-CN" w:bidi="ar-SA"/>
    </w:rPr>
  </w:style>
  <w:style w:type="paragraph" w:styleId="5">
    <w:name w:val="heading 4"/>
    <w:next w:val="1"/>
    <w:unhideWhenUsed/>
    <w:qFormat/>
    <w:uiPriority w:val="9"/>
    <w:pPr>
      <w:keepNext/>
      <w:keepLines/>
      <w:widowControl w:val="0"/>
      <w:numPr>
        <w:ilvl w:val="3"/>
        <w:numId w:val="1"/>
      </w:numPr>
      <w:spacing w:before="280" w:beforeLines="50" w:after="290" w:afterLines="50" w:line="360" w:lineRule="auto"/>
      <w:ind w:firstLine="40" w:firstLineChars="0"/>
      <w:jc w:val="left"/>
      <w:outlineLvl w:val="3"/>
    </w:pPr>
    <w:rPr>
      <w:rFonts w:ascii="宋体" w:hAnsi="宋体" w:eastAsia="宋体" w:cs="宋体"/>
      <w:b/>
      <w:bCs/>
      <w:kern w:val="0"/>
      <w:sz w:val="21"/>
      <w:szCs w:val="21"/>
      <w:lang w:val="en-US" w:eastAsia="zh-CN" w:bidi="ar-SA"/>
    </w:rPr>
  </w:style>
  <w:style w:type="paragraph" w:styleId="6">
    <w:name w:val="heading 5"/>
    <w:next w:val="1"/>
    <w:unhideWhenUsed/>
    <w:qFormat/>
    <w:uiPriority w:val="9"/>
    <w:pPr>
      <w:keepNext/>
      <w:keepLines/>
      <w:widowControl w:val="0"/>
      <w:numPr>
        <w:ilvl w:val="4"/>
        <w:numId w:val="1"/>
      </w:numPr>
      <w:spacing w:before="280" w:beforeLines="50" w:after="290" w:afterLines="50" w:line="360" w:lineRule="auto"/>
      <w:ind w:firstLine="40" w:firstLineChars="0"/>
      <w:jc w:val="left"/>
      <w:outlineLvl w:val="4"/>
    </w:pPr>
    <w:rPr>
      <w:rFonts w:ascii="宋体" w:hAnsi="宋体" w:eastAsia="宋体" w:cs="宋体"/>
      <w:b/>
      <w:bCs/>
      <w:kern w:val="2"/>
      <w:sz w:val="21"/>
      <w:szCs w:val="21"/>
      <w:lang w:val="en-US" w:eastAsia="zh-CN" w:bidi="ar-SA"/>
    </w:rPr>
  </w:style>
  <w:style w:type="character" w:default="1" w:styleId="15">
    <w:name w:val="Default Paragraph Font"/>
    <w:semiHidden/>
    <w:qFormat/>
    <w:uiPriority w:val="0"/>
  </w:style>
  <w:style w:type="table" w:default="1" w:styleId="16">
    <w:name w:val="Normal Table"/>
    <w:semiHidden/>
    <w:qFormat/>
    <w:uiPriority w:val="0"/>
    <w:tblPr>
      <w:tblLayout w:type="fixed"/>
      <w:tblCellMar>
        <w:top w:w="0" w:type="dxa"/>
        <w:left w:w="108" w:type="dxa"/>
        <w:bottom w:w="0" w:type="dxa"/>
        <w:right w:w="108" w:type="dxa"/>
      </w:tblCellMar>
    </w:tblPr>
  </w:style>
  <w:style w:type="paragraph" w:styleId="7">
    <w:name w:val="annotation text"/>
    <w:basedOn w:val="1"/>
    <w:qFormat/>
    <w:uiPriority w:val="0"/>
    <w:pPr>
      <w:jc w:val="left"/>
    </w:pPr>
  </w:style>
  <w:style w:type="paragraph" w:styleId="8">
    <w:name w:val="Body Text"/>
    <w:unhideWhenUsed/>
    <w:qFormat/>
    <w:uiPriority w:val="99"/>
    <w:pPr>
      <w:widowControl w:val="0"/>
      <w:spacing w:before="43" w:line="360" w:lineRule="auto"/>
      <w:ind w:left="1040" w:firstLine="40" w:firstLineChars="200"/>
      <w:jc w:val="both"/>
    </w:pPr>
    <w:rPr>
      <w:rFonts w:ascii="宋体" w:hAnsi="宋体" w:eastAsia="宋体" w:cs="宋体"/>
      <w:kern w:val="2"/>
      <w:sz w:val="21"/>
      <w:szCs w:val="21"/>
      <w:lang w:val="en-US" w:eastAsia="en-US" w:bidi="en-US"/>
    </w:rPr>
  </w:style>
  <w:style w:type="paragraph" w:styleId="9">
    <w:name w:val="toc 3"/>
    <w:next w:val="1"/>
    <w:unhideWhenUsed/>
    <w:qFormat/>
    <w:uiPriority w:val="39"/>
    <w:pPr>
      <w:widowControl w:val="0"/>
      <w:spacing w:line="360" w:lineRule="auto"/>
      <w:ind w:left="840" w:leftChars="400" w:firstLine="40" w:firstLineChars="200"/>
      <w:jc w:val="both"/>
    </w:pPr>
    <w:rPr>
      <w:rFonts w:ascii="宋体" w:hAnsi="宋体" w:eastAsia="宋体" w:cs="宋体"/>
      <w:kern w:val="2"/>
      <w:sz w:val="21"/>
      <w:szCs w:val="21"/>
      <w:lang w:val="en-US" w:eastAsia="zh-CN" w:bidi="ar-SA"/>
    </w:rPr>
  </w:style>
  <w:style w:type="paragraph" w:styleId="10">
    <w:name w:val="footer"/>
    <w:basedOn w:val="1"/>
    <w:qFormat/>
    <w:uiPriority w:val="0"/>
    <w:pPr>
      <w:tabs>
        <w:tab w:val="center" w:pos="4153"/>
        <w:tab w:val="right" w:pos="8306"/>
      </w:tabs>
      <w:snapToGrid w:val="0"/>
      <w:jc w:val="left"/>
    </w:pPr>
    <w:rPr>
      <w:sz w:val="18"/>
    </w:rPr>
  </w:style>
  <w:style w:type="paragraph" w:styleId="11">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2">
    <w:name w:val="toc 1"/>
    <w:next w:val="1"/>
    <w:unhideWhenUsed/>
    <w:qFormat/>
    <w:uiPriority w:val="39"/>
    <w:pPr>
      <w:widowControl w:val="0"/>
      <w:spacing w:line="360" w:lineRule="auto"/>
      <w:ind w:firstLine="40" w:firstLineChars="200"/>
      <w:jc w:val="both"/>
    </w:pPr>
    <w:rPr>
      <w:rFonts w:ascii="宋体" w:hAnsi="宋体" w:eastAsia="宋体" w:cs="宋体"/>
      <w:kern w:val="2"/>
      <w:sz w:val="21"/>
      <w:szCs w:val="21"/>
      <w:lang w:val="en-US" w:eastAsia="zh-CN" w:bidi="ar-SA"/>
    </w:rPr>
  </w:style>
  <w:style w:type="paragraph" w:styleId="13">
    <w:name w:val="toc 4"/>
    <w:next w:val="1"/>
    <w:unhideWhenUsed/>
    <w:qFormat/>
    <w:uiPriority w:val="39"/>
    <w:pPr>
      <w:widowControl w:val="0"/>
      <w:spacing w:line="360" w:lineRule="auto"/>
      <w:ind w:left="1260" w:leftChars="600" w:firstLine="40" w:firstLineChars="200"/>
      <w:jc w:val="both"/>
    </w:pPr>
    <w:rPr>
      <w:rFonts w:ascii="宋体" w:hAnsi="宋体" w:eastAsia="宋体" w:cs="宋体"/>
      <w:kern w:val="2"/>
      <w:sz w:val="21"/>
      <w:szCs w:val="21"/>
      <w:lang w:val="en-US" w:eastAsia="zh-CN" w:bidi="ar-SA"/>
    </w:rPr>
  </w:style>
  <w:style w:type="paragraph" w:styleId="14">
    <w:name w:val="toc 2"/>
    <w:next w:val="1"/>
    <w:unhideWhenUsed/>
    <w:qFormat/>
    <w:uiPriority w:val="39"/>
    <w:pPr>
      <w:widowControl w:val="0"/>
      <w:spacing w:line="360" w:lineRule="auto"/>
      <w:ind w:left="420" w:leftChars="200" w:firstLine="40" w:firstLineChars="200"/>
      <w:jc w:val="both"/>
    </w:pPr>
    <w:rPr>
      <w:rFonts w:ascii="宋体" w:hAnsi="宋体" w:eastAsia="宋体" w:cs="宋体"/>
      <w:kern w:val="2"/>
      <w:sz w:val="21"/>
      <w:szCs w:val="21"/>
      <w:lang w:val="en-US" w:eastAsia="zh-CN" w:bidi="ar-SA"/>
    </w:rPr>
  </w:style>
  <w:style w:type="paragraph" w:customStyle="1" w:styleId="17">
    <w:name w:val="Default"/>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paragraph" w:customStyle="1" w:styleId="18">
    <w:name w:val="TOC 标题1"/>
    <w:next w:val="1"/>
    <w:unhideWhenUsed/>
    <w:qFormat/>
    <w:uiPriority w:val="39"/>
    <w:pPr>
      <w:keepNext/>
      <w:keepLines/>
      <w:widowControl/>
      <w:numPr>
        <w:ilvl w:val="0"/>
        <w:numId w:val="0"/>
      </w:numPr>
      <w:spacing w:before="240" w:beforeLines="0" w:after="0" w:afterLines="0" w:line="259" w:lineRule="auto"/>
      <w:ind w:firstLine="40" w:firstLineChars="0"/>
      <w:jc w:val="left"/>
      <w:outlineLvl w:val="9"/>
    </w:pPr>
    <w:rPr>
      <w:rFonts w:ascii="Cambria" w:hAnsi="Cambria" w:eastAsia="宋体" w:cs="Times New Roman"/>
      <w:color w:val="366091"/>
      <w:kern w:val="0"/>
      <w:sz w:val="32"/>
      <w:szCs w:val="32"/>
      <w:lang w:val="en-US" w:eastAsia="zh-CN"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1</Lines>
  <Paragraphs>1</Paragraphs>
  <TotalTime>1</TotalTime>
  <ScaleCrop>false</ScaleCrop>
  <LinksUpToDate>false</LinksUpToDate>
  <CharactersWithSpaces>0</CharactersWithSpaces>
  <Application>WPS Office_10.8.2.6784_F1E327BC-269C-435d-A152-05C5408002CA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2021-09-09T02:41:00Z</dcterms:created>
  <dc:creator>t</dc:creator>
  <cp:lastModifiedBy>甫春莲</cp:lastModifiedBy>
  <cp:lastPrinted>2021-10-26T03:30:00Z</cp:lastPrinted>
  <dcterms:modified xsi:type="dcterms:W3CDTF">2021-12-22T01:19:11Z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2052-10.8.2.6784</vt:lpwstr>
  </property>
  <property fmtid="{D5CDD505-2E9C-101B-9397-08002B2CF9AE}" pid="3" name="ICV">
    <vt:lpwstr>48C61CB29D3F4D9384F5922CF0F7FFB4</vt:lpwstr>
  </property>
</Properties>
</file>