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jc w:val="center"/>
        <w:rPr>
          <w:rFonts w:hint="eastAsia" w:asciiTheme="minorEastAsia" w:hAnsiTheme="minorEastAsia" w:eastAsiaTheme="minorEastAsia" w:cstheme="minorEastAsia"/>
          <w:i w:val="0"/>
          <w:caps w:val="0"/>
          <w:color w:val="333333"/>
          <w:spacing w:val="0"/>
          <w:kern w:val="2"/>
          <w:sz w:val="44"/>
          <w:szCs w:val="44"/>
          <w:shd w:val="clear" w:fill="FFFFFF"/>
          <w:lang w:val="en-US" w:eastAsia="zh-CN" w:bidi="ar-SA"/>
        </w:rPr>
      </w:pPr>
    </w:p>
    <w:p>
      <w:pPr>
        <w:pStyle w:val="2"/>
        <w:jc w:val="center"/>
        <w:rPr>
          <w:rFonts w:hint="eastAsia" w:asciiTheme="minorEastAsia" w:hAnsiTheme="minorEastAsia" w:eastAsiaTheme="minorEastAsia" w:cstheme="minorEastAsia"/>
          <w:i w:val="0"/>
          <w:caps w:val="0"/>
          <w:color w:val="333333"/>
          <w:spacing w:val="0"/>
          <w:kern w:val="2"/>
          <w:sz w:val="44"/>
          <w:szCs w:val="44"/>
          <w:shd w:val="clear" w:fill="FFFFFF"/>
          <w:lang w:val="en-US" w:eastAsia="zh-CN" w:bidi="ar-SA"/>
        </w:rPr>
      </w:pPr>
    </w:p>
    <w:p>
      <w:pPr>
        <w:bidi w:val="0"/>
        <w:jc w:val="center"/>
        <w:rPr>
          <w:rFonts w:hint="eastAsia" w:asciiTheme="minorEastAsia" w:hAnsiTheme="minorEastAsia" w:eastAsiaTheme="minorEastAsia" w:cstheme="minorEastAsia"/>
          <w:color w:val="auto"/>
          <w:sz w:val="44"/>
          <w:szCs w:val="44"/>
          <w:lang w:val="en-US" w:eastAsia="zh-CN"/>
        </w:rPr>
      </w:pPr>
      <w:r>
        <w:rPr>
          <w:rFonts w:hint="eastAsia" w:asciiTheme="minorEastAsia" w:hAnsiTheme="minorEastAsia" w:eastAsiaTheme="minorEastAsia" w:cstheme="minorEastAsia"/>
          <w:color w:val="auto"/>
          <w:sz w:val="44"/>
          <w:szCs w:val="44"/>
          <w:lang w:val="en-US" w:eastAsia="zh-CN"/>
        </w:rPr>
        <w:t>云南省人力资源和社会保障厅  云南省卫生和计划生育委员会  云南省财政厅关于实行</w:t>
      </w:r>
    </w:p>
    <w:p>
      <w:pPr>
        <w:bidi w:val="0"/>
        <w:jc w:val="center"/>
        <w:rPr>
          <w:rFonts w:hint="eastAsia" w:asciiTheme="minorEastAsia" w:hAnsiTheme="minorEastAsia" w:eastAsiaTheme="minorEastAsia" w:cstheme="minorEastAsia"/>
          <w:color w:val="auto"/>
          <w:sz w:val="44"/>
          <w:szCs w:val="44"/>
          <w:lang w:val="en-US" w:eastAsia="zh-CN"/>
        </w:rPr>
      </w:pPr>
      <w:r>
        <w:rPr>
          <w:rFonts w:hint="eastAsia" w:asciiTheme="minorEastAsia" w:hAnsiTheme="minorEastAsia" w:eastAsiaTheme="minorEastAsia" w:cstheme="minorEastAsia"/>
          <w:color w:val="auto"/>
          <w:sz w:val="44"/>
          <w:szCs w:val="44"/>
          <w:lang w:val="en-US" w:eastAsia="zh-CN"/>
        </w:rPr>
        <w:t>城乡居民基本医疗保险州市级统筹的通知</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outlineLvl w:val="9"/>
        <w:rPr>
          <w:rFonts w:hint="default" w:ascii="楷体_GB2312" w:hAnsi="楷体_GB2312" w:eastAsia="楷体_GB2312" w:cs="楷体_GB2312"/>
          <w:i w:val="0"/>
          <w:caps w:val="0"/>
          <w:color w:val="333333"/>
          <w:spacing w:val="0"/>
          <w:sz w:val="32"/>
          <w:szCs w:val="32"/>
          <w:shd w:val="clear" w:fill="FFFFFF"/>
          <w:lang w:val="en-US" w:eastAsia="zh-CN"/>
        </w:rPr>
      </w:pPr>
      <w:r>
        <w:rPr>
          <w:rFonts w:hint="default" w:ascii="楷体_GB2312" w:hAnsi="楷体_GB2312" w:eastAsia="楷体_GB2312" w:cs="楷体_GB2312"/>
          <w:i w:val="0"/>
          <w:caps w:val="0"/>
          <w:color w:val="333333"/>
          <w:spacing w:val="0"/>
          <w:sz w:val="32"/>
          <w:szCs w:val="32"/>
          <w:shd w:val="clear" w:fill="FFFFFF"/>
          <w:lang w:val="en-US" w:eastAsia="zh-CN"/>
        </w:rPr>
        <w:t>云人社发〔2016〕344号</w:t>
      </w:r>
    </w:p>
    <w:p>
      <w:pPr>
        <w:pStyle w:val="2"/>
        <w:rPr>
          <w:rFonts w:hint="default" w:ascii="仿宋_GB2312" w:hAnsi="仿宋_GB2312" w:eastAsia="仿宋_GB2312" w:cs="仿宋_GB2312"/>
          <w:i w:val="0"/>
          <w:caps w:val="0"/>
          <w:color w:val="333333"/>
          <w:spacing w:val="0"/>
          <w:kern w:val="2"/>
          <w:sz w:val="32"/>
          <w:szCs w:val="32"/>
          <w:shd w:val="clear" w:fill="FFFFFF"/>
          <w:lang w:val="en-US" w:eastAsia="zh-CN" w:bidi="ar-SA"/>
        </w:rPr>
      </w:pPr>
    </w:p>
    <w:p>
      <w:pPr>
        <w:pStyle w:val="2"/>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default" w:ascii="仿宋_GB2312" w:hAnsi="仿宋_GB2312" w:eastAsia="仿宋_GB2312" w:cs="仿宋_GB2312"/>
          <w:i w:val="0"/>
          <w:caps w:val="0"/>
          <w:color w:val="333333"/>
          <w:spacing w:val="0"/>
          <w:kern w:val="2"/>
          <w:sz w:val="32"/>
          <w:szCs w:val="32"/>
          <w:shd w:val="clear" w:fill="FFFFFF"/>
          <w:lang w:val="en-US" w:eastAsia="zh-CN" w:bidi="ar-SA"/>
        </w:rPr>
        <w:t>各州（市）人力资源和社会保障局、卫生和计划生育委员会、财政局：</w:t>
      </w:r>
    </w:p>
    <w:p>
      <w:pPr>
        <w:pStyle w:val="2"/>
        <w:keepNext w:val="0"/>
        <w:keepLines w:val="0"/>
        <w:pageBreakBefore w:val="0"/>
        <w:widowControl w:val="0"/>
        <w:kinsoku/>
        <w:wordWrap/>
        <w:overflowPunct/>
        <w:topLinePunct w:val="0"/>
        <w:autoSpaceDE w:val="0"/>
        <w:autoSpaceDN w:val="0"/>
        <w:bidi w:val="0"/>
        <w:adjustRightInd w:val="0"/>
        <w:snapToGrid/>
        <w:ind w:firstLine="640" w:firstLineChars="200"/>
        <w:jc w:val="both"/>
        <w:textAlignment w:val="auto"/>
        <w:outlineLvl w:val="9"/>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default" w:ascii="仿宋_GB2312" w:hAnsi="仿宋_GB2312" w:eastAsia="仿宋_GB2312" w:cs="仿宋_GB2312"/>
          <w:i w:val="0"/>
          <w:caps w:val="0"/>
          <w:color w:val="333333"/>
          <w:spacing w:val="0"/>
          <w:kern w:val="2"/>
          <w:sz w:val="32"/>
          <w:szCs w:val="32"/>
          <w:shd w:val="clear" w:fill="FFFFFF"/>
          <w:lang w:val="en-US" w:eastAsia="zh-CN" w:bidi="ar-SA"/>
        </w:rPr>
        <w:t>为贯彻落实《云南省人民政府关于整合城乡居民基本医疗保险制度的实施意见》（云政发〔2016〕72号）精神，提高医疗保险统筹层次和保障水平，促进城乡居民基本医疗保险制度（以下简称城乡居民医疗保险）可持续发展，现就我省实行城乡居民医疗保险州市级统筹工作有关事项通知如下：</w:t>
      </w:r>
    </w:p>
    <w:p>
      <w:pPr>
        <w:pStyle w:val="2"/>
        <w:keepNext w:val="0"/>
        <w:keepLines w:val="0"/>
        <w:pageBreakBefore w:val="0"/>
        <w:widowControl w:val="0"/>
        <w:kinsoku/>
        <w:wordWrap/>
        <w:overflowPunct/>
        <w:topLinePunct w:val="0"/>
        <w:autoSpaceDE w:val="0"/>
        <w:autoSpaceDN w:val="0"/>
        <w:bidi w:val="0"/>
        <w:adjustRightInd w:val="0"/>
        <w:snapToGrid/>
        <w:ind w:firstLine="640" w:firstLineChars="200"/>
        <w:jc w:val="both"/>
        <w:textAlignment w:val="auto"/>
        <w:outlineLvl w:val="9"/>
        <w:rPr>
          <w:rFonts w:hint="eastAsia" w:ascii="黑体" w:hAnsi="黑体" w:eastAsia="黑体" w:cs="黑体"/>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一、全面实行城乡居民医疗保险州市级统筹</w:t>
      </w:r>
    </w:p>
    <w:p>
      <w:pPr>
        <w:pStyle w:val="2"/>
        <w:keepNext w:val="0"/>
        <w:keepLines w:val="0"/>
        <w:pageBreakBefore w:val="0"/>
        <w:widowControl w:val="0"/>
        <w:kinsoku/>
        <w:wordWrap/>
        <w:overflowPunct/>
        <w:topLinePunct w:val="0"/>
        <w:autoSpaceDE w:val="0"/>
        <w:autoSpaceDN w:val="0"/>
        <w:bidi w:val="0"/>
        <w:adjustRightInd w:val="0"/>
        <w:snapToGrid/>
        <w:ind w:firstLine="640" w:firstLineChars="200"/>
        <w:jc w:val="both"/>
        <w:textAlignment w:val="auto"/>
        <w:outlineLvl w:val="9"/>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default" w:ascii="仿宋_GB2312" w:hAnsi="仿宋_GB2312" w:eastAsia="仿宋_GB2312" w:cs="仿宋_GB2312"/>
          <w:i w:val="0"/>
          <w:caps w:val="0"/>
          <w:color w:val="333333"/>
          <w:spacing w:val="0"/>
          <w:kern w:val="2"/>
          <w:sz w:val="32"/>
          <w:szCs w:val="32"/>
          <w:shd w:val="clear" w:fill="FFFFFF"/>
          <w:lang w:val="en-US" w:eastAsia="zh-CN" w:bidi="ar-SA"/>
        </w:rPr>
        <w:t>各州、市要按照统筹安排、协调发展、完善措施、规范管理、稳步推进的工作思路，坚持政府主导、政策统一、分级管理、基金共济、统一考核和分级负责的工作模式，实行城乡居民医疗保险州市级统筹，不断增强基金的统筹调剂和抗风险能力，确保全省城乡居民医疗保险制度持续健康发展，促进社会和谐稳定。</w:t>
      </w:r>
    </w:p>
    <w:p>
      <w:pPr>
        <w:pStyle w:val="2"/>
        <w:keepNext w:val="0"/>
        <w:keepLines w:val="0"/>
        <w:pageBreakBefore w:val="0"/>
        <w:widowControl w:val="0"/>
        <w:kinsoku/>
        <w:wordWrap/>
        <w:overflowPunct/>
        <w:topLinePunct w:val="0"/>
        <w:autoSpaceDE w:val="0"/>
        <w:autoSpaceDN w:val="0"/>
        <w:bidi w:val="0"/>
        <w:adjustRightInd w:val="0"/>
        <w:snapToGrid/>
        <w:ind w:firstLine="640" w:firstLineChars="200"/>
        <w:jc w:val="both"/>
        <w:textAlignment w:val="auto"/>
        <w:outlineLvl w:val="9"/>
        <w:rPr>
          <w:rFonts w:hint="eastAsia" w:ascii="黑体" w:hAnsi="黑体" w:eastAsia="黑体" w:cs="黑体"/>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二、实现统筹区域内城乡居民医疗保险政策措施统一</w:t>
      </w:r>
    </w:p>
    <w:p>
      <w:pPr>
        <w:pStyle w:val="2"/>
        <w:keepNext w:val="0"/>
        <w:keepLines w:val="0"/>
        <w:pageBreakBefore w:val="0"/>
        <w:widowControl w:val="0"/>
        <w:kinsoku/>
        <w:wordWrap/>
        <w:overflowPunct/>
        <w:topLinePunct w:val="0"/>
        <w:autoSpaceDE w:val="0"/>
        <w:autoSpaceDN w:val="0"/>
        <w:bidi w:val="0"/>
        <w:adjustRightInd w:val="0"/>
        <w:snapToGrid/>
        <w:ind w:firstLine="640" w:firstLineChars="200"/>
        <w:jc w:val="both"/>
        <w:textAlignment w:val="auto"/>
        <w:outlineLvl w:val="9"/>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default" w:ascii="仿宋_GB2312" w:hAnsi="仿宋_GB2312" w:eastAsia="仿宋_GB2312" w:cs="仿宋_GB2312"/>
          <w:i w:val="0"/>
          <w:caps w:val="0"/>
          <w:color w:val="333333"/>
          <w:spacing w:val="0"/>
          <w:kern w:val="2"/>
          <w:sz w:val="32"/>
          <w:szCs w:val="32"/>
          <w:shd w:val="clear" w:fill="FFFFFF"/>
          <w:lang w:val="en-US" w:eastAsia="zh-CN" w:bidi="ar-SA"/>
        </w:rPr>
        <w:t>（一）统一参保覆盖范围和筹资标准</w:t>
      </w:r>
    </w:p>
    <w:p>
      <w:pPr>
        <w:pStyle w:val="2"/>
        <w:keepNext w:val="0"/>
        <w:keepLines w:val="0"/>
        <w:pageBreakBefore w:val="0"/>
        <w:widowControl w:val="0"/>
        <w:kinsoku/>
        <w:wordWrap/>
        <w:overflowPunct/>
        <w:topLinePunct w:val="0"/>
        <w:autoSpaceDE w:val="0"/>
        <w:autoSpaceDN w:val="0"/>
        <w:bidi w:val="0"/>
        <w:adjustRightInd w:val="0"/>
        <w:snapToGrid/>
        <w:ind w:firstLine="640" w:firstLineChars="200"/>
        <w:jc w:val="both"/>
        <w:textAlignment w:val="auto"/>
        <w:outlineLvl w:val="9"/>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default" w:ascii="仿宋_GB2312" w:hAnsi="仿宋_GB2312" w:eastAsia="仿宋_GB2312" w:cs="仿宋_GB2312"/>
          <w:i w:val="0"/>
          <w:caps w:val="0"/>
          <w:color w:val="333333"/>
          <w:spacing w:val="0"/>
          <w:kern w:val="2"/>
          <w:sz w:val="32"/>
          <w:szCs w:val="32"/>
          <w:shd w:val="clear" w:fill="FFFFFF"/>
          <w:lang w:val="en-US" w:eastAsia="zh-CN" w:bidi="ar-SA"/>
        </w:rPr>
        <w:t>各州、市城乡居民医疗保险参保覆盖范围、筹资标准、缴费方式、缴费时间按照《关于统一城乡居民基本医疗保险覆盖范围和筹资标准有关问题的通知》（云人社发〔2016〕248号）要求，执行统一的政策和标准。筹资标准根据国家要求由省级相关部门统一制定，各统筹地区不再进行调整。</w:t>
      </w:r>
    </w:p>
    <w:p>
      <w:pPr>
        <w:pStyle w:val="2"/>
        <w:keepNext w:val="0"/>
        <w:keepLines w:val="0"/>
        <w:pageBreakBefore w:val="0"/>
        <w:widowControl w:val="0"/>
        <w:kinsoku/>
        <w:wordWrap/>
        <w:overflowPunct/>
        <w:topLinePunct w:val="0"/>
        <w:autoSpaceDE w:val="0"/>
        <w:autoSpaceDN w:val="0"/>
        <w:bidi w:val="0"/>
        <w:adjustRightInd w:val="0"/>
        <w:snapToGrid/>
        <w:ind w:firstLine="640" w:firstLineChars="200"/>
        <w:jc w:val="both"/>
        <w:textAlignment w:val="auto"/>
        <w:outlineLvl w:val="9"/>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default" w:ascii="仿宋_GB2312" w:hAnsi="仿宋_GB2312" w:eastAsia="仿宋_GB2312" w:cs="仿宋_GB2312"/>
          <w:i w:val="0"/>
          <w:caps w:val="0"/>
          <w:color w:val="333333"/>
          <w:spacing w:val="0"/>
          <w:kern w:val="2"/>
          <w:sz w:val="32"/>
          <w:szCs w:val="32"/>
          <w:shd w:val="clear" w:fill="FFFFFF"/>
          <w:lang w:val="en-US" w:eastAsia="zh-CN" w:bidi="ar-SA"/>
        </w:rPr>
        <w:t>（二）统一医疗保险待遇水平</w:t>
      </w:r>
    </w:p>
    <w:p>
      <w:pPr>
        <w:pStyle w:val="2"/>
        <w:keepNext w:val="0"/>
        <w:keepLines w:val="0"/>
        <w:pageBreakBefore w:val="0"/>
        <w:widowControl w:val="0"/>
        <w:kinsoku/>
        <w:wordWrap/>
        <w:overflowPunct/>
        <w:topLinePunct w:val="0"/>
        <w:autoSpaceDE w:val="0"/>
        <w:autoSpaceDN w:val="0"/>
        <w:bidi w:val="0"/>
        <w:adjustRightInd w:val="0"/>
        <w:snapToGrid/>
        <w:ind w:firstLine="640" w:firstLineChars="200"/>
        <w:jc w:val="both"/>
        <w:textAlignment w:val="auto"/>
        <w:outlineLvl w:val="9"/>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default" w:ascii="仿宋_GB2312" w:hAnsi="仿宋_GB2312" w:eastAsia="仿宋_GB2312" w:cs="仿宋_GB2312"/>
          <w:i w:val="0"/>
          <w:caps w:val="0"/>
          <w:color w:val="333333"/>
          <w:spacing w:val="0"/>
          <w:kern w:val="2"/>
          <w:sz w:val="32"/>
          <w:szCs w:val="32"/>
          <w:shd w:val="clear" w:fill="FFFFFF"/>
          <w:lang w:val="en-US" w:eastAsia="zh-CN" w:bidi="ar-SA"/>
        </w:rPr>
        <w:t>1．执行全省统一的城乡居民医疗保险药品支付范围、诊疗项目、医用耗材和医疗服务设施范围。</w:t>
      </w:r>
    </w:p>
    <w:p>
      <w:pPr>
        <w:pStyle w:val="2"/>
        <w:keepNext w:val="0"/>
        <w:keepLines w:val="0"/>
        <w:pageBreakBefore w:val="0"/>
        <w:widowControl w:val="0"/>
        <w:kinsoku/>
        <w:wordWrap/>
        <w:overflowPunct/>
        <w:topLinePunct w:val="0"/>
        <w:autoSpaceDE w:val="0"/>
        <w:autoSpaceDN w:val="0"/>
        <w:bidi w:val="0"/>
        <w:adjustRightInd w:val="0"/>
        <w:snapToGrid/>
        <w:ind w:firstLine="640" w:firstLineChars="200"/>
        <w:jc w:val="both"/>
        <w:textAlignment w:val="auto"/>
        <w:outlineLvl w:val="9"/>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default" w:ascii="仿宋_GB2312" w:hAnsi="仿宋_GB2312" w:eastAsia="仿宋_GB2312" w:cs="仿宋_GB2312"/>
          <w:i w:val="0"/>
          <w:caps w:val="0"/>
          <w:color w:val="333333"/>
          <w:spacing w:val="0"/>
          <w:kern w:val="2"/>
          <w:sz w:val="32"/>
          <w:szCs w:val="32"/>
          <w:shd w:val="clear" w:fill="FFFFFF"/>
          <w:lang w:val="en-US" w:eastAsia="zh-CN" w:bidi="ar-SA"/>
        </w:rPr>
        <w:t>2．各州、市应按照《云南省人力资源和社会保障厅 云南省卫生和计划生育委员会关于统一城乡居民基本医疗保险待遇有关问题的通知》（云人社发〔2016〕310号）要求，结合当地实际情况，制定科学合理的城乡居民医疗保险待遇标准，并在统筹区域内统一执行，各县（市、区）不得调整。</w:t>
      </w:r>
    </w:p>
    <w:p>
      <w:pPr>
        <w:pStyle w:val="2"/>
        <w:keepNext w:val="0"/>
        <w:keepLines w:val="0"/>
        <w:pageBreakBefore w:val="0"/>
        <w:widowControl w:val="0"/>
        <w:kinsoku/>
        <w:wordWrap/>
        <w:overflowPunct/>
        <w:topLinePunct w:val="0"/>
        <w:autoSpaceDE w:val="0"/>
        <w:autoSpaceDN w:val="0"/>
        <w:bidi w:val="0"/>
        <w:adjustRightInd w:val="0"/>
        <w:snapToGrid/>
        <w:ind w:firstLine="640" w:firstLineChars="200"/>
        <w:jc w:val="both"/>
        <w:textAlignment w:val="auto"/>
        <w:outlineLvl w:val="9"/>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default" w:ascii="仿宋_GB2312" w:hAnsi="仿宋_GB2312" w:eastAsia="仿宋_GB2312" w:cs="仿宋_GB2312"/>
          <w:i w:val="0"/>
          <w:caps w:val="0"/>
          <w:color w:val="333333"/>
          <w:spacing w:val="0"/>
          <w:kern w:val="2"/>
          <w:sz w:val="32"/>
          <w:szCs w:val="32"/>
          <w:shd w:val="clear" w:fill="FFFFFF"/>
          <w:lang w:val="en-US" w:eastAsia="zh-CN" w:bidi="ar-SA"/>
        </w:rPr>
        <w:t>（三）统一基金管理</w:t>
      </w:r>
    </w:p>
    <w:p>
      <w:pPr>
        <w:pStyle w:val="2"/>
        <w:keepNext w:val="0"/>
        <w:keepLines w:val="0"/>
        <w:pageBreakBefore w:val="0"/>
        <w:widowControl w:val="0"/>
        <w:kinsoku/>
        <w:wordWrap/>
        <w:overflowPunct/>
        <w:topLinePunct w:val="0"/>
        <w:autoSpaceDE w:val="0"/>
        <w:autoSpaceDN w:val="0"/>
        <w:bidi w:val="0"/>
        <w:adjustRightInd w:val="0"/>
        <w:snapToGrid/>
        <w:ind w:firstLine="640" w:firstLineChars="200"/>
        <w:jc w:val="both"/>
        <w:textAlignment w:val="auto"/>
        <w:outlineLvl w:val="9"/>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default" w:ascii="仿宋_GB2312" w:hAnsi="仿宋_GB2312" w:eastAsia="仿宋_GB2312" w:cs="仿宋_GB2312"/>
          <w:i w:val="0"/>
          <w:caps w:val="0"/>
          <w:color w:val="333333"/>
          <w:spacing w:val="0"/>
          <w:kern w:val="2"/>
          <w:sz w:val="32"/>
          <w:szCs w:val="32"/>
          <w:shd w:val="clear" w:fill="FFFFFF"/>
          <w:lang w:val="en-US" w:eastAsia="zh-CN" w:bidi="ar-SA"/>
        </w:rPr>
        <w:t>1．城乡居民医疗保险基金纳入社会保障基金财政专户（以下简称社保基金财政专户），实行收支两条线管理，单独记账、分账核算、专款专用，任何地区、部门、单位和个人均不得挤占、挪用基金，基金不得用于平衡一般公共预算，不得用于经办人员和工作经费。</w:t>
      </w:r>
    </w:p>
    <w:p>
      <w:pPr>
        <w:pStyle w:val="2"/>
        <w:keepNext w:val="0"/>
        <w:keepLines w:val="0"/>
        <w:pageBreakBefore w:val="0"/>
        <w:widowControl w:val="0"/>
        <w:kinsoku/>
        <w:wordWrap/>
        <w:overflowPunct/>
        <w:topLinePunct w:val="0"/>
        <w:autoSpaceDE w:val="0"/>
        <w:autoSpaceDN w:val="0"/>
        <w:bidi w:val="0"/>
        <w:adjustRightInd w:val="0"/>
        <w:snapToGrid/>
        <w:ind w:firstLine="640" w:firstLineChars="200"/>
        <w:jc w:val="both"/>
        <w:textAlignment w:val="auto"/>
        <w:outlineLvl w:val="9"/>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default" w:ascii="仿宋_GB2312" w:hAnsi="仿宋_GB2312" w:eastAsia="仿宋_GB2312" w:cs="仿宋_GB2312"/>
          <w:i w:val="0"/>
          <w:caps w:val="0"/>
          <w:color w:val="333333"/>
          <w:spacing w:val="0"/>
          <w:kern w:val="2"/>
          <w:sz w:val="32"/>
          <w:szCs w:val="32"/>
          <w:shd w:val="clear" w:fill="FFFFFF"/>
          <w:lang w:val="en-US" w:eastAsia="zh-CN" w:bidi="ar-SA"/>
        </w:rPr>
        <w:t>2．鼓励有条件的州、市基金实行州市级统一管理，在统筹区域内统一调剂使用；暂时不具备条件的州、市可采取区县经办机构上缴调剂金的办法逐步过渡，调剂金应按照年度筹资总额的一定比例合理确定。各统筹地区可根据实际需要建立风险金。</w:t>
      </w:r>
    </w:p>
    <w:p>
      <w:pPr>
        <w:pStyle w:val="2"/>
        <w:keepNext w:val="0"/>
        <w:keepLines w:val="0"/>
        <w:pageBreakBefore w:val="0"/>
        <w:widowControl w:val="0"/>
        <w:kinsoku/>
        <w:wordWrap/>
        <w:overflowPunct/>
        <w:topLinePunct w:val="0"/>
        <w:autoSpaceDE w:val="0"/>
        <w:autoSpaceDN w:val="0"/>
        <w:bidi w:val="0"/>
        <w:adjustRightInd w:val="0"/>
        <w:snapToGrid/>
        <w:ind w:firstLine="640" w:firstLineChars="200"/>
        <w:jc w:val="both"/>
        <w:textAlignment w:val="auto"/>
        <w:outlineLvl w:val="9"/>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default" w:ascii="仿宋_GB2312" w:hAnsi="仿宋_GB2312" w:eastAsia="仿宋_GB2312" w:cs="仿宋_GB2312"/>
          <w:i w:val="0"/>
          <w:caps w:val="0"/>
          <w:color w:val="333333"/>
          <w:spacing w:val="0"/>
          <w:kern w:val="2"/>
          <w:sz w:val="32"/>
          <w:szCs w:val="32"/>
          <w:shd w:val="clear" w:fill="FFFFFF"/>
          <w:lang w:val="en-US" w:eastAsia="zh-CN" w:bidi="ar-SA"/>
        </w:rPr>
        <w:t>实行基金统一管理的州市，其所辖县（市、区）经办机构每年筹集的城乡居民医疗保险个人缴费和同级财政配套补助资金要按时足额缴入州、市社保基金财政专户，中央、省、州（市）财政的补助资金直接划入社保基金财政专户。</w:t>
      </w:r>
    </w:p>
    <w:p>
      <w:pPr>
        <w:pStyle w:val="2"/>
        <w:keepNext w:val="0"/>
        <w:keepLines w:val="0"/>
        <w:pageBreakBefore w:val="0"/>
        <w:widowControl w:val="0"/>
        <w:kinsoku/>
        <w:wordWrap/>
        <w:overflowPunct/>
        <w:topLinePunct w:val="0"/>
        <w:autoSpaceDE w:val="0"/>
        <w:autoSpaceDN w:val="0"/>
        <w:bidi w:val="0"/>
        <w:adjustRightInd w:val="0"/>
        <w:snapToGrid/>
        <w:ind w:firstLine="640" w:firstLineChars="200"/>
        <w:jc w:val="both"/>
        <w:textAlignment w:val="auto"/>
        <w:outlineLvl w:val="9"/>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default" w:ascii="仿宋_GB2312" w:hAnsi="仿宋_GB2312" w:eastAsia="仿宋_GB2312" w:cs="仿宋_GB2312"/>
          <w:i w:val="0"/>
          <w:caps w:val="0"/>
          <w:color w:val="333333"/>
          <w:spacing w:val="0"/>
          <w:kern w:val="2"/>
          <w:sz w:val="32"/>
          <w:szCs w:val="32"/>
          <w:shd w:val="clear" w:fill="FFFFFF"/>
          <w:lang w:val="en-US" w:eastAsia="zh-CN" w:bidi="ar-SA"/>
        </w:rPr>
        <w:t>3．基金实行国家统一的社保基金预算管理，各州、市要按照以收定支、收支平衡、略有结余的要求，结合统筹区域内参保人数、当年筹资标准、医保待遇标准以及医疗费用自然增幅等实际情况，统一编制城乡居民医保基金收支预算。</w:t>
      </w:r>
    </w:p>
    <w:p>
      <w:pPr>
        <w:pStyle w:val="2"/>
        <w:keepNext w:val="0"/>
        <w:keepLines w:val="0"/>
        <w:pageBreakBefore w:val="0"/>
        <w:widowControl w:val="0"/>
        <w:kinsoku/>
        <w:wordWrap/>
        <w:overflowPunct/>
        <w:topLinePunct w:val="0"/>
        <w:autoSpaceDE w:val="0"/>
        <w:autoSpaceDN w:val="0"/>
        <w:bidi w:val="0"/>
        <w:adjustRightInd w:val="0"/>
        <w:snapToGrid/>
        <w:ind w:firstLine="640" w:firstLineChars="200"/>
        <w:jc w:val="both"/>
        <w:textAlignment w:val="auto"/>
        <w:outlineLvl w:val="9"/>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default" w:ascii="仿宋_GB2312" w:hAnsi="仿宋_GB2312" w:eastAsia="仿宋_GB2312" w:cs="仿宋_GB2312"/>
          <w:i w:val="0"/>
          <w:caps w:val="0"/>
          <w:color w:val="333333"/>
          <w:spacing w:val="0"/>
          <w:kern w:val="2"/>
          <w:sz w:val="32"/>
          <w:szCs w:val="32"/>
          <w:shd w:val="clear" w:fill="FFFFFF"/>
          <w:lang w:val="en-US" w:eastAsia="zh-CN" w:bidi="ar-SA"/>
        </w:rPr>
        <w:t>4．对纳入州市级统筹前各县（市、区）的基金收、支、结余等情况，应经审计部门专项审计确认，州市级统筹前形成的基金缺口，由各县（市、区）政府负责弥补，之前形成的历年结余，按审计部门确认金额统一归缴州市社保基金财政专户。</w:t>
      </w:r>
    </w:p>
    <w:p>
      <w:pPr>
        <w:pStyle w:val="2"/>
        <w:keepNext w:val="0"/>
        <w:keepLines w:val="0"/>
        <w:pageBreakBefore w:val="0"/>
        <w:widowControl w:val="0"/>
        <w:kinsoku/>
        <w:wordWrap/>
        <w:overflowPunct/>
        <w:topLinePunct w:val="0"/>
        <w:autoSpaceDE w:val="0"/>
        <w:autoSpaceDN w:val="0"/>
        <w:bidi w:val="0"/>
        <w:adjustRightInd w:val="0"/>
        <w:snapToGrid/>
        <w:ind w:firstLine="640" w:firstLineChars="200"/>
        <w:jc w:val="both"/>
        <w:textAlignment w:val="auto"/>
        <w:outlineLvl w:val="9"/>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default" w:ascii="仿宋_GB2312" w:hAnsi="仿宋_GB2312" w:eastAsia="仿宋_GB2312" w:cs="仿宋_GB2312"/>
          <w:i w:val="0"/>
          <w:caps w:val="0"/>
          <w:color w:val="333333"/>
          <w:spacing w:val="0"/>
          <w:kern w:val="2"/>
          <w:sz w:val="32"/>
          <w:szCs w:val="32"/>
          <w:shd w:val="clear" w:fill="FFFFFF"/>
          <w:lang w:val="en-US" w:eastAsia="zh-CN" w:bidi="ar-SA"/>
        </w:rPr>
        <w:t>（四）统一定点医疗机构管理</w:t>
      </w:r>
    </w:p>
    <w:p>
      <w:pPr>
        <w:pStyle w:val="2"/>
        <w:keepNext w:val="0"/>
        <w:keepLines w:val="0"/>
        <w:pageBreakBefore w:val="0"/>
        <w:widowControl w:val="0"/>
        <w:kinsoku/>
        <w:wordWrap/>
        <w:overflowPunct/>
        <w:topLinePunct w:val="0"/>
        <w:autoSpaceDE w:val="0"/>
        <w:autoSpaceDN w:val="0"/>
        <w:bidi w:val="0"/>
        <w:adjustRightInd w:val="0"/>
        <w:snapToGrid/>
        <w:ind w:firstLine="640" w:firstLineChars="200"/>
        <w:jc w:val="both"/>
        <w:textAlignment w:val="auto"/>
        <w:outlineLvl w:val="9"/>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default" w:ascii="仿宋_GB2312" w:hAnsi="仿宋_GB2312" w:eastAsia="仿宋_GB2312" w:cs="仿宋_GB2312"/>
          <w:i w:val="0"/>
          <w:caps w:val="0"/>
          <w:color w:val="333333"/>
          <w:spacing w:val="0"/>
          <w:kern w:val="2"/>
          <w:sz w:val="32"/>
          <w:szCs w:val="32"/>
          <w:shd w:val="clear" w:fill="FFFFFF"/>
          <w:lang w:val="en-US" w:eastAsia="zh-CN" w:bidi="ar-SA"/>
        </w:rPr>
        <w:t>各州、市要按照《云南省人力资源和社会保障厅 云南省卫生和计划生育委员会关于统一城乡居民基本医疗保险定点医疗机构管理的通知》（云人社发〔2016〕308号）的要求，结合州市级统筹制度的建立，合理划分州市和县（市、区）的管理职责，统一定点医疗机构的协议签订管理，规范定点医疗机构的准入和退出机制。</w:t>
      </w:r>
    </w:p>
    <w:p>
      <w:pPr>
        <w:pStyle w:val="2"/>
        <w:keepNext w:val="0"/>
        <w:keepLines w:val="0"/>
        <w:pageBreakBefore w:val="0"/>
        <w:widowControl w:val="0"/>
        <w:kinsoku/>
        <w:wordWrap/>
        <w:overflowPunct/>
        <w:topLinePunct w:val="0"/>
        <w:autoSpaceDE w:val="0"/>
        <w:autoSpaceDN w:val="0"/>
        <w:bidi w:val="0"/>
        <w:adjustRightInd w:val="0"/>
        <w:snapToGrid/>
        <w:ind w:firstLine="640" w:firstLineChars="200"/>
        <w:jc w:val="both"/>
        <w:textAlignment w:val="auto"/>
        <w:outlineLvl w:val="9"/>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default" w:ascii="仿宋_GB2312" w:hAnsi="仿宋_GB2312" w:eastAsia="仿宋_GB2312" w:cs="仿宋_GB2312"/>
          <w:i w:val="0"/>
          <w:caps w:val="0"/>
          <w:color w:val="333333"/>
          <w:spacing w:val="0"/>
          <w:kern w:val="2"/>
          <w:sz w:val="32"/>
          <w:szCs w:val="32"/>
          <w:shd w:val="clear" w:fill="FFFFFF"/>
          <w:lang w:val="en-US" w:eastAsia="zh-CN" w:bidi="ar-SA"/>
        </w:rPr>
        <w:t>（五）统一费用支付方式</w:t>
      </w:r>
    </w:p>
    <w:p>
      <w:pPr>
        <w:pStyle w:val="2"/>
        <w:keepNext w:val="0"/>
        <w:keepLines w:val="0"/>
        <w:pageBreakBefore w:val="0"/>
        <w:widowControl w:val="0"/>
        <w:kinsoku/>
        <w:wordWrap/>
        <w:overflowPunct/>
        <w:topLinePunct w:val="0"/>
        <w:autoSpaceDE w:val="0"/>
        <w:autoSpaceDN w:val="0"/>
        <w:bidi w:val="0"/>
        <w:adjustRightInd w:val="0"/>
        <w:snapToGrid/>
        <w:ind w:firstLine="640" w:firstLineChars="200"/>
        <w:jc w:val="both"/>
        <w:textAlignment w:val="auto"/>
        <w:outlineLvl w:val="9"/>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default" w:ascii="仿宋_GB2312" w:hAnsi="仿宋_GB2312" w:eastAsia="仿宋_GB2312" w:cs="仿宋_GB2312"/>
          <w:i w:val="0"/>
          <w:caps w:val="0"/>
          <w:color w:val="333333"/>
          <w:spacing w:val="0"/>
          <w:kern w:val="2"/>
          <w:sz w:val="32"/>
          <w:szCs w:val="32"/>
          <w:shd w:val="clear" w:fill="FFFFFF"/>
          <w:lang w:val="en-US" w:eastAsia="zh-CN" w:bidi="ar-SA"/>
        </w:rPr>
        <w:t>结合州市级统筹工作的推进，调整完善城乡居民医疗保险付费方式，统一实施付费总额控制，建立以总额预付、病种付费、人头付费、床日付费、服务单元付费和疾病诊断相关组付费（DRGs）等多种付费方式相结合的复合型支付方式，规范定点医疗机构服务行为，控制医疗费用不合理增长。</w:t>
      </w:r>
    </w:p>
    <w:p>
      <w:pPr>
        <w:pStyle w:val="2"/>
        <w:keepNext w:val="0"/>
        <w:keepLines w:val="0"/>
        <w:pageBreakBefore w:val="0"/>
        <w:widowControl w:val="0"/>
        <w:kinsoku/>
        <w:wordWrap/>
        <w:overflowPunct/>
        <w:topLinePunct w:val="0"/>
        <w:autoSpaceDE w:val="0"/>
        <w:autoSpaceDN w:val="0"/>
        <w:bidi w:val="0"/>
        <w:adjustRightInd w:val="0"/>
        <w:snapToGrid/>
        <w:ind w:firstLine="640" w:firstLineChars="200"/>
        <w:jc w:val="both"/>
        <w:textAlignment w:val="auto"/>
        <w:outlineLvl w:val="9"/>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default" w:ascii="仿宋_GB2312" w:hAnsi="仿宋_GB2312" w:eastAsia="仿宋_GB2312" w:cs="仿宋_GB2312"/>
          <w:i w:val="0"/>
          <w:caps w:val="0"/>
          <w:color w:val="333333"/>
          <w:spacing w:val="0"/>
          <w:kern w:val="2"/>
          <w:sz w:val="32"/>
          <w:szCs w:val="32"/>
          <w:shd w:val="clear" w:fill="FFFFFF"/>
          <w:lang w:val="en-US" w:eastAsia="zh-CN" w:bidi="ar-SA"/>
        </w:rPr>
        <w:t>（六）统一信息系统</w:t>
      </w:r>
    </w:p>
    <w:p>
      <w:pPr>
        <w:pStyle w:val="2"/>
        <w:keepNext w:val="0"/>
        <w:keepLines w:val="0"/>
        <w:pageBreakBefore w:val="0"/>
        <w:widowControl w:val="0"/>
        <w:kinsoku/>
        <w:wordWrap/>
        <w:overflowPunct/>
        <w:topLinePunct w:val="0"/>
        <w:autoSpaceDE w:val="0"/>
        <w:autoSpaceDN w:val="0"/>
        <w:bidi w:val="0"/>
        <w:adjustRightInd w:val="0"/>
        <w:snapToGrid/>
        <w:ind w:firstLine="640" w:firstLineChars="200"/>
        <w:jc w:val="both"/>
        <w:textAlignment w:val="auto"/>
        <w:outlineLvl w:val="9"/>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default" w:ascii="仿宋_GB2312" w:hAnsi="仿宋_GB2312" w:eastAsia="仿宋_GB2312" w:cs="仿宋_GB2312"/>
          <w:i w:val="0"/>
          <w:caps w:val="0"/>
          <w:color w:val="333333"/>
          <w:spacing w:val="0"/>
          <w:kern w:val="2"/>
          <w:sz w:val="32"/>
          <w:szCs w:val="32"/>
          <w:shd w:val="clear" w:fill="FFFFFF"/>
          <w:lang w:val="en-US" w:eastAsia="zh-CN" w:bidi="ar-SA"/>
        </w:rPr>
        <w:t>1．按照系统建设标准统一、资源共享、服务延伸的总体思路，整合现有信息系统并升级改造，逐步建立覆盖城乡医疗保险的管理信息系统，为城乡居民医疗保险制度运行和功能拓展提供支撑。</w:t>
      </w:r>
    </w:p>
    <w:p>
      <w:pPr>
        <w:pStyle w:val="2"/>
        <w:keepNext w:val="0"/>
        <w:keepLines w:val="0"/>
        <w:pageBreakBefore w:val="0"/>
        <w:widowControl w:val="0"/>
        <w:kinsoku/>
        <w:wordWrap/>
        <w:overflowPunct/>
        <w:topLinePunct w:val="0"/>
        <w:autoSpaceDE w:val="0"/>
        <w:autoSpaceDN w:val="0"/>
        <w:bidi w:val="0"/>
        <w:adjustRightInd w:val="0"/>
        <w:snapToGrid/>
        <w:ind w:firstLine="640" w:firstLineChars="200"/>
        <w:jc w:val="both"/>
        <w:textAlignment w:val="auto"/>
        <w:outlineLvl w:val="9"/>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default" w:ascii="仿宋_GB2312" w:hAnsi="仿宋_GB2312" w:eastAsia="仿宋_GB2312" w:cs="仿宋_GB2312"/>
          <w:i w:val="0"/>
          <w:caps w:val="0"/>
          <w:color w:val="333333"/>
          <w:spacing w:val="0"/>
          <w:kern w:val="2"/>
          <w:sz w:val="32"/>
          <w:szCs w:val="32"/>
          <w:shd w:val="clear" w:fill="FFFFFF"/>
          <w:lang w:val="en-US" w:eastAsia="zh-CN" w:bidi="ar-SA"/>
        </w:rPr>
        <w:t>2．加强基础数据的采集、补充和核实，健全医保信息系统数据统一标准和运行规范，满足居民医保经办服务和动态管理的需要，杜绝重复参保现象，实现统筹区域内参保居民就医实时结算。</w:t>
      </w:r>
    </w:p>
    <w:p>
      <w:pPr>
        <w:pStyle w:val="2"/>
        <w:keepNext w:val="0"/>
        <w:keepLines w:val="0"/>
        <w:pageBreakBefore w:val="0"/>
        <w:widowControl w:val="0"/>
        <w:kinsoku/>
        <w:wordWrap/>
        <w:overflowPunct/>
        <w:topLinePunct w:val="0"/>
        <w:autoSpaceDE w:val="0"/>
        <w:autoSpaceDN w:val="0"/>
        <w:bidi w:val="0"/>
        <w:adjustRightInd w:val="0"/>
        <w:snapToGrid/>
        <w:ind w:firstLine="640" w:firstLineChars="200"/>
        <w:jc w:val="both"/>
        <w:textAlignment w:val="auto"/>
        <w:outlineLvl w:val="9"/>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default" w:ascii="仿宋_GB2312" w:hAnsi="仿宋_GB2312" w:eastAsia="仿宋_GB2312" w:cs="仿宋_GB2312"/>
          <w:i w:val="0"/>
          <w:caps w:val="0"/>
          <w:color w:val="333333"/>
          <w:spacing w:val="0"/>
          <w:kern w:val="2"/>
          <w:sz w:val="32"/>
          <w:szCs w:val="32"/>
          <w:shd w:val="clear" w:fill="FFFFFF"/>
          <w:lang w:val="en-US" w:eastAsia="zh-CN" w:bidi="ar-SA"/>
        </w:rPr>
        <w:t>（七）统一业务经办流程</w:t>
      </w:r>
    </w:p>
    <w:p>
      <w:pPr>
        <w:pStyle w:val="2"/>
        <w:keepNext w:val="0"/>
        <w:keepLines w:val="0"/>
        <w:pageBreakBefore w:val="0"/>
        <w:widowControl w:val="0"/>
        <w:kinsoku/>
        <w:wordWrap/>
        <w:overflowPunct/>
        <w:topLinePunct w:val="0"/>
        <w:autoSpaceDE w:val="0"/>
        <w:autoSpaceDN w:val="0"/>
        <w:bidi w:val="0"/>
        <w:adjustRightInd w:val="0"/>
        <w:snapToGrid/>
        <w:ind w:firstLine="640" w:firstLineChars="200"/>
        <w:jc w:val="both"/>
        <w:textAlignment w:val="auto"/>
        <w:outlineLvl w:val="9"/>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default" w:ascii="仿宋_GB2312" w:hAnsi="仿宋_GB2312" w:eastAsia="仿宋_GB2312" w:cs="仿宋_GB2312"/>
          <w:i w:val="0"/>
          <w:caps w:val="0"/>
          <w:color w:val="333333"/>
          <w:spacing w:val="0"/>
          <w:kern w:val="2"/>
          <w:sz w:val="32"/>
          <w:szCs w:val="32"/>
          <w:shd w:val="clear" w:fill="FFFFFF"/>
          <w:lang w:val="en-US" w:eastAsia="zh-CN" w:bidi="ar-SA"/>
        </w:rPr>
        <w:t>1．按照“数据向上集中，服务向下延伸”的原则，合理划分州市和县（市、区）两级经办机构的职责，加强县（市、区）经办机构和街道社区、乡镇工作的指导和监督，充分调动基层经办机构的工作积极性，不断提升城乡居民医保经办机构的服务能力和水平。</w:t>
      </w:r>
    </w:p>
    <w:p>
      <w:pPr>
        <w:pStyle w:val="2"/>
        <w:keepNext w:val="0"/>
        <w:keepLines w:val="0"/>
        <w:pageBreakBefore w:val="0"/>
        <w:widowControl w:val="0"/>
        <w:kinsoku/>
        <w:wordWrap/>
        <w:overflowPunct/>
        <w:topLinePunct w:val="0"/>
        <w:autoSpaceDE w:val="0"/>
        <w:autoSpaceDN w:val="0"/>
        <w:bidi w:val="0"/>
        <w:adjustRightInd w:val="0"/>
        <w:snapToGrid/>
        <w:ind w:firstLine="640" w:firstLineChars="200"/>
        <w:jc w:val="both"/>
        <w:textAlignment w:val="auto"/>
        <w:outlineLvl w:val="9"/>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default" w:ascii="仿宋_GB2312" w:hAnsi="仿宋_GB2312" w:eastAsia="仿宋_GB2312" w:cs="仿宋_GB2312"/>
          <w:i w:val="0"/>
          <w:caps w:val="0"/>
          <w:color w:val="333333"/>
          <w:spacing w:val="0"/>
          <w:kern w:val="2"/>
          <w:sz w:val="32"/>
          <w:szCs w:val="32"/>
          <w:shd w:val="clear" w:fill="FFFFFF"/>
          <w:lang w:val="en-US" w:eastAsia="zh-CN" w:bidi="ar-SA"/>
        </w:rPr>
        <w:t>2．各州、市应根据城乡居民医疗保险的业务特点，从参保登记、个人缴费、费用审核、住院结算、关系转移接续、门诊慢性病特殊病办理、普通门诊人头付费等多方面入手，制定统一规范的城乡居民医疗保险业务操作流程，方便广大参保居民办理各项医保业务。</w:t>
      </w:r>
    </w:p>
    <w:p>
      <w:pPr>
        <w:pStyle w:val="2"/>
        <w:keepNext w:val="0"/>
        <w:keepLines w:val="0"/>
        <w:pageBreakBefore w:val="0"/>
        <w:widowControl w:val="0"/>
        <w:kinsoku/>
        <w:wordWrap/>
        <w:overflowPunct/>
        <w:topLinePunct w:val="0"/>
        <w:autoSpaceDE w:val="0"/>
        <w:autoSpaceDN w:val="0"/>
        <w:bidi w:val="0"/>
        <w:adjustRightInd w:val="0"/>
        <w:snapToGrid/>
        <w:ind w:firstLine="640" w:firstLineChars="200"/>
        <w:jc w:val="both"/>
        <w:textAlignment w:val="auto"/>
        <w:outlineLvl w:val="9"/>
        <w:rPr>
          <w:rFonts w:hint="eastAsia" w:ascii="黑体" w:hAnsi="黑体" w:eastAsia="黑体" w:cs="黑体"/>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三、建立目标考核制度与责任分担机制</w:t>
      </w:r>
    </w:p>
    <w:p>
      <w:pPr>
        <w:pStyle w:val="2"/>
        <w:keepNext w:val="0"/>
        <w:keepLines w:val="0"/>
        <w:pageBreakBefore w:val="0"/>
        <w:widowControl w:val="0"/>
        <w:kinsoku/>
        <w:wordWrap/>
        <w:overflowPunct/>
        <w:topLinePunct w:val="0"/>
        <w:autoSpaceDE w:val="0"/>
        <w:autoSpaceDN w:val="0"/>
        <w:bidi w:val="0"/>
        <w:adjustRightInd w:val="0"/>
        <w:snapToGrid/>
        <w:ind w:firstLine="640" w:firstLineChars="200"/>
        <w:jc w:val="both"/>
        <w:textAlignment w:val="auto"/>
        <w:outlineLvl w:val="9"/>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default" w:ascii="仿宋_GB2312" w:hAnsi="仿宋_GB2312" w:eastAsia="仿宋_GB2312" w:cs="仿宋_GB2312"/>
          <w:i w:val="0"/>
          <w:caps w:val="0"/>
          <w:color w:val="333333"/>
          <w:spacing w:val="0"/>
          <w:kern w:val="2"/>
          <w:sz w:val="32"/>
          <w:szCs w:val="32"/>
          <w:shd w:val="clear" w:fill="FFFFFF"/>
          <w:lang w:val="en-US" w:eastAsia="zh-CN" w:bidi="ar-SA"/>
        </w:rPr>
        <w:t>（一）各州、市要建立对县（市、区）城乡居民医疗保险工作目标考核制度</w:t>
      </w:r>
    </w:p>
    <w:p>
      <w:pPr>
        <w:pStyle w:val="2"/>
        <w:keepNext w:val="0"/>
        <w:keepLines w:val="0"/>
        <w:pageBreakBefore w:val="0"/>
        <w:widowControl w:val="0"/>
        <w:kinsoku/>
        <w:wordWrap/>
        <w:overflowPunct/>
        <w:topLinePunct w:val="0"/>
        <w:autoSpaceDE w:val="0"/>
        <w:autoSpaceDN w:val="0"/>
        <w:bidi w:val="0"/>
        <w:adjustRightInd w:val="0"/>
        <w:snapToGrid/>
        <w:ind w:firstLine="640" w:firstLineChars="200"/>
        <w:jc w:val="both"/>
        <w:textAlignment w:val="auto"/>
        <w:outlineLvl w:val="9"/>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default" w:ascii="仿宋_GB2312" w:hAnsi="仿宋_GB2312" w:eastAsia="仿宋_GB2312" w:cs="仿宋_GB2312"/>
          <w:i w:val="0"/>
          <w:caps w:val="0"/>
          <w:color w:val="333333"/>
          <w:spacing w:val="0"/>
          <w:kern w:val="2"/>
          <w:sz w:val="32"/>
          <w:szCs w:val="32"/>
          <w:shd w:val="clear" w:fill="FFFFFF"/>
          <w:lang w:val="en-US" w:eastAsia="zh-CN" w:bidi="ar-SA"/>
        </w:rPr>
        <w:t>对各县（市、区）参保率、医保政策执行、基金收支管理、费用审核稽核、定点服务机构管理等有关工作实行量化目标考核，努力强化县（市、区）城乡居民医疗保险管理责任。</w:t>
      </w:r>
    </w:p>
    <w:p>
      <w:pPr>
        <w:pStyle w:val="2"/>
        <w:keepNext w:val="0"/>
        <w:keepLines w:val="0"/>
        <w:pageBreakBefore w:val="0"/>
        <w:widowControl w:val="0"/>
        <w:kinsoku/>
        <w:wordWrap/>
        <w:overflowPunct/>
        <w:topLinePunct w:val="0"/>
        <w:autoSpaceDE w:val="0"/>
        <w:autoSpaceDN w:val="0"/>
        <w:bidi w:val="0"/>
        <w:adjustRightInd w:val="0"/>
        <w:snapToGrid/>
        <w:ind w:firstLine="640" w:firstLineChars="200"/>
        <w:jc w:val="both"/>
        <w:textAlignment w:val="auto"/>
        <w:outlineLvl w:val="9"/>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default" w:ascii="仿宋_GB2312" w:hAnsi="仿宋_GB2312" w:eastAsia="仿宋_GB2312" w:cs="仿宋_GB2312"/>
          <w:i w:val="0"/>
          <w:caps w:val="0"/>
          <w:color w:val="333333"/>
          <w:spacing w:val="0"/>
          <w:kern w:val="2"/>
          <w:sz w:val="32"/>
          <w:szCs w:val="32"/>
          <w:shd w:val="clear" w:fill="FFFFFF"/>
          <w:lang w:val="en-US" w:eastAsia="zh-CN" w:bidi="ar-SA"/>
        </w:rPr>
        <w:t>（二）建立预算管理责任分担机制</w:t>
      </w:r>
    </w:p>
    <w:p>
      <w:pPr>
        <w:pStyle w:val="2"/>
        <w:keepNext w:val="0"/>
        <w:keepLines w:val="0"/>
        <w:pageBreakBefore w:val="0"/>
        <w:widowControl w:val="0"/>
        <w:kinsoku/>
        <w:wordWrap/>
        <w:overflowPunct/>
        <w:topLinePunct w:val="0"/>
        <w:autoSpaceDE w:val="0"/>
        <w:autoSpaceDN w:val="0"/>
        <w:bidi w:val="0"/>
        <w:adjustRightInd w:val="0"/>
        <w:snapToGrid/>
        <w:ind w:firstLine="640" w:firstLineChars="200"/>
        <w:jc w:val="both"/>
        <w:textAlignment w:val="auto"/>
        <w:outlineLvl w:val="9"/>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default" w:ascii="仿宋_GB2312" w:hAnsi="仿宋_GB2312" w:eastAsia="仿宋_GB2312" w:cs="仿宋_GB2312"/>
          <w:i w:val="0"/>
          <w:caps w:val="0"/>
          <w:color w:val="333333"/>
          <w:spacing w:val="0"/>
          <w:kern w:val="2"/>
          <w:sz w:val="32"/>
          <w:szCs w:val="32"/>
          <w:shd w:val="clear" w:fill="FFFFFF"/>
          <w:lang w:val="en-US" w:eastAsia="zh-CN" w:bidi="ar-SA"/>
        </w:rPr>
        <w:t>将基金预算管理纳入县(市、区)年度综合考核重要内容，对完成预算管理任务的县（市、区）应给予表彰，其当年结余的基金额度可用于今后年度出现的基金收支缺口；对未完成预算管理任务造成基金收支缺口较大的县（市、区），在由州市按照一定比例给予调剂后，县（市、区）应承担“兜底”责任，促使其增强责任意识，提高基金预算管理的执行力和约束力。</w:t>
      </w:r>
    </w:p>
    <w:p>
      <w:pPr>
        <w:pStyle w:val="2"/>
        <w:rPr>
          <w:rFonts w:hint="default" w:ascii="仿宋_GB2312" w:hAnsi="仿宋_GB2312" w:eastAsia="仿宋_GB2312" w:cs="仿宋_GB2312"/>
          <w:i w:val="0"/>
          <w:caps w:val="0"/>
          <w:color w:val="333333"/>
          <w:spacing w:val="0"/>
          <w:kern w:val="2"/>
          <w:sz w:val="32"/>
          <w:szCs w:val="32"/>
          <w:shd w:val="clear" w:fill="FFFFFF"/>
          <w:lang w:val="en-US" w:eastAsia="zh-CN" w:bidi="ar-SA"/>
        </w:rPr>
      </w:pPr>
    </w:p>
    <w:p>
      <w:pPr>
        <w:pStyle w:val="2"/>
        <w:rPr>
          <w:rFonts w:hint="default" w:ascii="仿宋_GB2312" w:hAnsi="仿宋_GB2312" w:eastAsia="仿宋_GB2312" w:cs="仿宋_GB2312"/>
          <w:i w:val="0"/>
          <w:caps w:val="0"/>
          <w:color w:val="333333"/>
          <w:spacing w:val="0"/>
          <w:kern w:val="2"/>
          <w:sz w:val="32"/>
          <w:szCs w:val="32"/>
          <w:shd w:val="clear" w:fill="FFFFFF"/>
          <w:lang w:val="en-US" w:eastAsia="zh-CN" w:bidi="ar-SA"/>
        </w:rPr>
      </w:pPr>
    </w:p>
    <w:p>
      <w:pPr>
        <w:pStyle w:val="2"/>
        <w:jc w:val="both"/>
        <w:rPr>
          <w:rFonts w:hint="default" w:ascii="仿宋_GB2312" w:hAnsi="仿宋_GB2312" w:eastAsia="仿宋_GB2312" w:cs="仿宋_GB2312"/>
          <w:i w:val="0"/>
          <w:caps w:val="0"/>
          <w:color w:val="333333"/>
          <w:spacing w:val="0"/>
          <w:kern w:val="2"/>
          <w:sz w:val="32"/>
          <w:szCs w:val="32"/>
          <w:shd w:val="clear" w:fill="FFFFFF"/>
          <w:lang w:val="en-US" w:eastAsia="zh-CN" w:bidi="ar-SA"/>
        </w:rPr>
      </w:pPr>
      <w:bookmarkStart w:id="0" w:name="_GoBack"/>
    </w:p>
    <w:p>
      <w:pPr>
        <w:pStyle w:val="2"/>
        <w:jc w:val="both"/>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default" w:ascii="仿宋_GB2312" w:hAnsi="仿宋_GB2312" w:eastAsia="仿宋_GB2312" w:cs="仿宋_GB2312"/>
          <w:i w:val="0"/>
          <w:caps w:val="0"/>
          <w:color w:val="333333"/>
          <w:spacing w:val="0"/>
          <w:kern w:val="2"/>
          <w:sz w:val="32"/>
          <w:szCs w:val="32"/>
          <w:shd w:val="clear" w:fill="FFFFFF"/>
          <w:lang w:val="en-US" w:eastAsia="zh-CN" w:bidi="ar-SA"/>
        </w:rPr>
        <w:t>云南省人力资源和社会保障厅   云南省卫生和计划生育委员会</w:t>
      </w:r>
    </w:p>
    <w:p>
      <w:pPr>
        <w:pStyle w:val="2"/>
        <w:keepNext w:val="0"/>
        <w:keepLines w:val="0"/>
        <w:pageBreakBefore w:val="0"/>
        <w:widowControl w:val="0"/>
        <w:kinsoku/>
        <w:wordWrap/>
        <w:overflowPunct/>
        <w:topLinePunct w:val="0"/>
        <w:autoSpaceDE w:val="0"/>
        <w:autoSpaceDN w:val="0"/>
        <w:bidi w:val="0"/>
        <w:adjustRightInd w:val="0"/>
        <w:snapToGrid/>
        <w:ind w:firstLine="5440" w:firstLineChars="1700"/>
        <w:jc w:val="both"/>
        <w:textAlignment w:val="auto"/>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default" w:ascii="仿宋_GB2312" w:hAnsi="仿宋_GB2312" w:eastAsia="仿宋_GB2312" w:cs="仿宋_GB2312"/>
          <w:i w:val="0"/>
          <w:caps w:val="0"/>
          <w:color w:val="333333"/>
          <w:spacing w:val="0"/>
          <w:kern w:val="2"/>
          <w:sz w:val="32"/>
          <w:szCs w:val="32"/>
          <w:shd w:val="clear" w:fill="FFFFFF"/>
          <w:lang w:val="en-US" w:eastAsia="zh-CN" w:bidi="ar-SA"/>
        </w:rPr>
        <w:t>云南省财政厅</w:t>
      </w:r>
    </w:p>
    <w:p>
      <w:pPr>
        <w:pStyle w:val="2"/>
        <w:keepNext w:val="0"/>
        <w:keepLines w:val="0"/>
        <w:pageBreakBefore w:val="0"/>
        <w:widowControl w:val="0"/>
        <w:kinsoku/>
        <w:wordWrap/>
        <w:overflowPunct/>
        <w:topLinePunct w:val="0"/>
        <w:autoSpaceDE w:val="0"/>
        <w:autoSpaceDN w:val="0"/>
        <w:bidi w:val="0"/>
        <w:adjustRightInd w:val="0"/>
        <w:snapToGrid/>
        <w:ind w:firstLine="5440" w:firstLineChars="1700"/>
        <w:jc w:val="both"/>
        <w:textAlignment w:val="auto"/>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default" w:ascii="仿宋_GB2312" w:hAnsi="仿宋_GB2312" w:eastAsia="仿宋_GB2312" w:cs="仿宋_GB2312"/>
          <w:i w:val="0"/>
          <w:caps w:val="0"/>
          <w:color w:val="333333"/>
          <w:spacing w:val="0"/>
          <w:kern w:val="2"/>
          <w:sz w:val="32"/>
          <w:szCs w:val="32"/>
          <w:shd w:val="clear" w:fill="FFFFFF"/>
          <w:lang w:val="en-US" w:eastAsia="zh-CN" w:bidi="ar-SA"/>
        </w:rPr>
        <w:t>2016年10月31日</w:t>
      </w:r>
    </w:p>
    <w:bookmarkEnd w:id="0"/>
    <w:sectPr>
      <w:headerReference r:id="rId3" w:type="default"/>
      <w:footerReference r:id="rId4" w:type="default"/>
      <w:pgSz w:w="11906" w:h="16838"/>
      <w:pgMar w:top="1962" w:right="1474" w:bottom="1848" w:left="158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3000509000000000000"/>
    <w:charset w:val="86"/>
    <w:family w:val="auto"/>
    <w:pitch w:val="default"/>
    <w:sig w:usb0="00000001" w:usb1="080E0000" w:usb2="00000000" w:usb3="00000000" w:csb0="00040000" w:csb1="00000000"/>
  </w:font>
  <w:font w:name="Cambria">
    <w:panose1 w:val="02040503050406030204"/>
    <w:charset w:val="00"/>
    <w:family w:val="roman"/>
    <w:pitch w:val="default"/>
    <w:sig w:usb0="E00002FF" w:usb1="400004FF" w:usb2="00000000" w:usb3="00000000" w:csb0="2000019F" w:csb1="00000000"/>
  </w:font>
  <w:font w:name="楷体_GB2312">
    <w:altName w:val="楷体"/>
    <w:panose1 w:val="02010609030101010101"/>
    <w:charset w:val="86"/>
    <w:family w:val="auto"/>
    <w:pitch w:val="default"/>
    <w:sig w:usb0="00000000" w:usb1="00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ind w:left="4788" w:leftChars="2280" w:firstLine="6400" w:firstLineChars="2000"/>
      <w:rPr>
        <w:rFonts w:hint="eastAsia" w:eastAsia="仿宋"/>
        <w:sz w:val="32"/>
        <w:szCs w:val="48"/>
        <w:lang w:val="en-US" w:eastAsia="zh-CN"/>
      </w:rPr>
    </w:pPr>
    <w:r>
      <w:rPr>
        <w:sz w:val="32"/>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ObJgcoSAgAAEwQAAA4AAAAAAAAAAQAg&#10;AAAAHwEAAGRycy9lMm9Eb2MueG1sUEsFBgAAAAAGAAYAWQEAAKMFAAAAAA==&#10;">
              <v:fill on="f" focussize="0,0"/>
              <v:stroke on="f" weight="0.5pt"/>
              <v:imagedata o:title=""/>
              <o:lock v:ext="edit" aspectratio="f"/>
              <v:textbox inset="0mm,0mm,0mm,0mm" style="mso-fit-shape-to-text:t;">
                <w:txbxContent>
                  <w:p>
                    <w:pPr>
                      <w:pStyle w:val="11"/>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lang w:val="en-US" w:eastAsia="zh-CN"/>
      </w:rPr>
      <w:t xml:space="preserve">  </w:t>
    </w:r>
  </w:p>
  <w:p>
    <w:pPr>
      <w:pStyle w:val="12"/>
      <w:wordWrap w:val="0"/>
      <w:ind w:left="4788" w:leftChars="2280" w:firstLine="6400" w:firstLineChars="2000"/>
      <w:jc w:val="right"/>
      <w:rPr>
        <w:rFonts w:hint="eastAsia" w:ascii="宋体" w:hAnsi="宋体" w:eastAsia="宋体" w:cs="宋体"/>
        <w:b/>
        <w:bCs/>
        <w:color w:val="005192"/>
        <w:sz w:val="28"/>
        <w:szCs w:val="44"/>
        <w:lang w:val="en-US" w:eastAsia="zh-CN"/>
      </w:rPr>
    </w:pPr>
    <w:r>
      <w:rPr>
        <w:color w:val="FAFAFA"/>
        <w:sz w:val="32"/>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pt;margin-top:5.85pt;height:0.15pt;width:442.25pt;z-index:251660288;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POnpdHUAAAABgEAAA8AAAAAAAAAAQAgAAAAIgAAAGRycy9k&#10;b3ducmV2LnhtbFBLAQIUABQAAAAIAIdO4kCuozrgzQEAAGcDAAAOAAAAAAAAAAEAIAAAACMBAABk&#10;cnMvZTJvRG9jLnhtbFBLBQYAAAAABgAGAFkBAABiBQAAAAA=&#10;">
              <v:fill on="f" focussize="0,0"/>
              <v:stroke weight="1.75pt" color="#005192 [3204]" miterlimit="8" joinstyle="miter"/>
              <v:imagedata o:title=""/>
              <o:lock v:ext="edit" aspectratio="f"/>
            </v:line>
          </w:pict>
        </mc:Fallback>
      </mc:AlternateContent>
    </w:r>
    <w:r>
      <w:rPr>
        <w:rFonts w:hint="eastAsia" w:eastAsia="仿宋"/>
        <w:color w:val="FAFAFA"/>
        <w:sz w:val="32"/>
        <w:szCs w:val="48"/>
        <w:lang w:val="en-US" w:eastAsia="zh-CN"/>
      </w:rPr>
      <w:t>X</w:t>
    </w:r>
    <w:r>
      <w:rPr>
        <w:rFonts w:hint="eastAsia" w:ascii="宋体" w:hAnsi="宋体" w:eastAsia="宋体" w:cs="宋体"/>
        <w:b/>
        <w:bCs/>
        <w:color w:val="005192"/>
        <w:sz w:val="28"/>
        <w:szCs w:val="44"/>
        <w:lang w:val="en-US" w:eastAsia="zh-CN"/>
      </w:rPr>
      <w:t xml:space="preserve">云南省医疗保障局发布     </w:t>
    </w:r>
  </w:p>
  <w:p>
    <w:pPr>
      <w:pStyle w:val="12"/>
      <w:wordWrap w:val="0"/>
      <w:ind w:left="4788" w:leftChars="2280" w:firstLine="5622"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59264"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3pt;margin-top:54.35pt;height:0pt;width:442.55pt;z-index:251659264;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1EdA1tUAAAAJAQAADwAAAAAAAAABACAA&#10;AAAiAAAAZHJzL2Rvd25yZXYueG1sUEsBAhQAFAAAAAgAh07iQOPuMRnXAQAAbwMAAA4AAAAAAAAA&#10;AQAgAAAAJAEAAGRycy9lMm9Eb2MueG1sUEsFBgAAAAAGAAYAWQEAAG0FAAAAAA==&#10;">
              <v:fill on="f" focussize="0,0"/>
              <v:stroke weight="1.75pt" color="#005192 [3204]" miterlimit="8" joinstyle="miter"/>
              <v:imagedata o:title=""/>
              <o:lock v:ext="edit" aspectratio="f"/>
            </v:line>
          </w:pict>
        </mc:Fallback>
      </mc:AlternateContent>
    </w:r>
  </w:p>
  <w:p>
    <w:pPr>
      <w:pStyle w:val="12"/>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sz w:val="32"/>
      </w:rPr>
      <w:drawing>
        <wp:inline distT="0" distB="0" distL="114300" distR="114300">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hint="eastAsia" w:ascii="宋体" w:hAnsi="宋体" w:eastAsia="宋体" w:cs="宋体"/>
        <w:b/>
        <w:bCs/>
        <w:color w:val="005192"/>
        <w:sz w:val="32"/>
        <w:szCs w:val="32"/>
        <w:lang w:val="en-US" w:eastAsia="zh-CN"/>
      </w:rPr>
      <w:t>云南省医疗保障局行政规范性文件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19005D"/>
    <w:multiLevelType w:val="multilevel"/>
    <w:tmpl w:val="2819005D"/>
    <w:lvl w:ilvl="0" w:tentative="0">
      <w:start w:val="1"/>
      <w:numFmt w:val="decimal"/>
      <w:pStyle w:val="3"/>
      <w:suff w:val="space"/>
      <w:lvlText w:val="%1"/>
      <w:lvlJc w:val="left"/>
      <w:pPr>
        <w:tabs>
          <w:tab w:val="left" w:pos="420"/>
        </w:tabs>
        <w:ind w:left="0" w:firstLine="0"/>
      </w:pPr>
      <w:rPr>
        <w:rFonts w:hint="eastAsia" w:ascii="宋体" w:hAnsi="宋体" w:eastAsia="宋体"/>
        <w:b/>
        <w:bCs/>
        <w:i w:val="0"/>
        <w:iCs w:val="0"/>
        <w:caps w:val="0"/>
        <w:strike w:val="0"/>
        <w:dstrike w:val="0"/>
        <w:vanish w:val="0"/>
        <w:color w:val="auto"/>
        <w:w w:val="100"/>
        <w:sz w:val="28"/>
        <w:szCs w:val="28"/>
        <w:u w:val="none"/>
        <w:vertAlign w:val="baseline"/>
      </w:rPr>
    </w:lvl>
    <w:lvl w:ilvl="1" w:tentative="0">
      <w:start w:val="1"/>
      <w:numFmt w:val="decimal"/>
      <w:pStyle w:val="4"/>
      <w:suff w:val="space"/>
      <w:lvlText w:val="%1.%2"/>
      <w:lvlJc w:val="left"/>
      <w:pPr>
        <w:tabs>
          <w:tab w:val="left" w:pos="420"/>
        </w:tabs>
        <w:ind w:left="-105" w:firstLine="0"/>
      </w:pPr>
      <w:rPr>
        <w:rFonts w:hint="eastAsia" w:ascii="宋体" w:hAnsi="宋体" w:eastAsia="宋体"/>
        <w:b/>
        <w:bCs/>
        <w:i w:val="0"/>
        <w:iCs w:val="0"/>
        <w:vanish w:val="0"/>
        <w:color w:val="auto"/>
        <w:w w:val="100"/>
        <w:sz w:val="24"/>
        <w:szCs w:val="24"/>
        <w:u w:val="none"/>
      </w:rPr>
    </w:lvl>
    <w:lvl w:ilvl="2" w:tentative="0">
      <w:start w:val="1"/>
      <w:numFmt w:val="decimal"/>
      <w:pStyle w:val="5"/>
      <w:suff w:val="space"/>
      <w:lvlText w:val="%1.%2.%3"/>
      <w:lvlJc w:val="left"/>
      <w:pPr>
        <w:tabs>
          <w:tab w:val="left" w:pos="420"/>
        </w:tabs>
        <w:ind w:left="0" w:firstLine="0"/>
      </w:pPr>
      <w:rPr>
        <w:rFonts w:hint="eastAsia" w:ascii="宋体" w:hAnsi="宋体" w:eastAsia="宋体"/>
        <w:b/>
        <w:bCs/>
        <w:i w:val="0"/>
        <w:iCs w:val="0"/>
        <w:vanish w:val="0"/>
        <w:color w:val="auto"/>
        <w:w w:val="100"/>
        <w:sz w:val="24"/>
        <w:szCs w:val="24"/>
        <w:u w:val="none"/>
      </w:rPr>
    </w:lvl>
    <w:lvl w:ilvl="3" w:tentative="0">
      <w:start w:val="1"/>
      <w:numFmt w:val="decimal"/>
      <w:pStyle w:val="6"/>
      <w:suff w:val="space"/>
      <w:lvlText w:val="%1.%2.%3.%4"/>
      <w:lvlJc w:val="left"/>
      <w:pPr>
        <w:tabs>
          <w:tab w:val="left" w:pos="420"/>
        </w:tabs>
        <w:ind w:left="0" w:firstLine="0"/>
      </w:pPr>
      <w:rPr>
        <w:rFonts w:hint="eastAsia" w:ascii="宋体" w:hAnsi="宋体" w:eastAsia="宋体"/>
        <w:b/>
        <w:bCs/>
        <w:i w:val="0"/>
        <w:iCs w:val="0"/>
        <w:vanish w:val="0"/>
        <w:color w:val="auto"/>
        <w:w w:val="100"/>
        <w:sz w:val="21"/>
        <w:szCs w:val="21"/>
        <w:u w:val="none"/>
      </w:rPr>
    </w:lvl>
    <w:lvl w:ilvl="4" w:tentative="0">
      <w:start w:val="1"/>
      <w:numFmt w:val="decimal"/>
      <w:pStyle w:val="7"/>
      <w:suff w:val="space"/>
      <w:lvlText w:val="%1.%2.%3.%4.%5"/>
      <w:lvlJc w:val="left"/>
      <w:pPr>
        <w:tabs>
          <w:tab w:val="left" w:pos="420"/>
        </w:tabs>
        <w:ind w:left="0" w:firstLine="0"/>
      </w:pPr>
      <w:rPr>
        <w:rFonts w:hint="eastAsia" w:ascii="宋体" w:hAnsi="宋体" w:eastAsia="宋体"/>
        <w:b/>
        <w:bCs/>
        <w:i w:val="0"/>
        <w:iCs w:val="0"/>
        <w:vanish w:val="0"/>
        <w:color w:val="auto"/>
        <w:w w:val="100"/>
        <w:sz w:val="21"/>
        <w:szCs w:val="21"/>
        <w:u w:val="none"/>
      </w:rPr>
    </w:lvl>
    <w:lvl w:ilvl="5" w:tentative="0">
      <w:start w:val="1"/>
      <w:numFmt w:val="decimal"/>
      <w:suff w:val="space"/>
      <w:lvlText w:val="%1.%2.%3.%4.%5.%6"/>
      <w:lvlJc w:val="left"/>
      <w:pPr>
        <w:tabs>
          <w:tab w:val="left" w:pos="420"/>
        </w:tabs>
        <w:ind w:left="0" w:firstLine="0"/>
      </w:pPr>
      <w:rPr>
        <w:rFonts w:hint="eastAsia" w:ascii="宋体" w:hAnsi="宋体" w:eastAsia="宋体"/>
        <w:b/>
        <w:bCs/>
        <w:i w:val="0"/>
        <w:iCs w:val="0"/>
        <w:vanish w:val="0"/>
        <w:color w:val="auto"/>
        <w:w w:val="100"/>
        <w:sz w:val="21"/>
        <w:szCs w:val="21"/>
        <w:u w:val="none"/>
      </w:rPr>
    </w:lvl>
    <w:lvl w:ilvl="6" w:tentative="0">
      <w:start w:val="1"/>
      <w:numFmt w:val="decimal"/>
      <w:suff w:val="space"/>
      <w:lvlText w:val="%1.%2.%3.%4.%5.%6.%7"/>
      <w:lvlJc w:val="left"/>
      <w:pPr>
        <w:tabs>
          <w:tab w:val="left" w:pos="420"/>
        </w:tabs>
        <w:ind w:left="0" w:firstLine="0"/>
      </w:pPr>
      <w:rPr>
        <w:rFonts w:hint="eastAsia" w:ascii="宋体" w:hAnsi="宋体" w:eastAsia="宋体"/>
        <w:b/>
        <w:bCs/>
        <w:i w:val="0"/>
        <w:iCs w:val="0"/>
        <w:vanish w:val="0"/>
        <w:color w:val="auto"/>
        <w:w w:val="100"/>
        <w:sz w:val="21"/>
        <w:szCs w:val="21"/>
        <w:u w:val="none"/>
      </w:rPr>
    </w:lvl>
    <w:lvl w:ilvl="7" w:tentative="0">
      <w:start w:val="1"/>
      <w:numFmt w:val="decimal"/>
      <w:suff w:val="space"/>
      <w:lvlText w:val="%1.%2.%3.%4.%5.%6.%7.%8"/>
      <w:lvlJc w:val="left"/>
      <w:pPr>
        <w:tabs>
          <w:tab w:val="left" w:pos="420"/>
        </w:tabs>
        <w:ind w:left="0" w:firstLine="0"/>
      </w:pPr>
      <w:rPr>
        <w:rFonts w:hint="eastAsia" w:ascii="宋体" w:hAnsi="宋体" w:eastAsia="宋体"/>
        <w:b/>
        <w:bCs/>
        <w:i w:val="0"/>
        <w:iCs w:val="0"/>
        <w:vanish w:val="0"/>
        <w:color w:val="auto"/>
        <w:w w:val="100"/>
        <w:sz w:val="21"/>
        <w:szCs w:val="21"/>
        <w:u w:val="none"/>
      </w:rPr>
    </w:lvl>
    <w:lvl w:ilvl="8" w:tentative="0">
      <w:start w:val="1"/>
      <w:numFmt w:val="decimal"/>
      <w:suff w:val="space"/>
      <w:lvlText w:val="%1.%2.%3.%4.%5.%6.%7.%8.%9"/>
      <w:lvlJc w:val="left"/>
      <w:pPr>
        <w:tabs>
          <w:tab w:val="left" w:pos="420"/>
        </w:tabs>
        <w:ind w:left="0" w:firstLine="0"/>
      </w:pPr>
      <w:rPr>
        <w:rFonts w:hint="eastAsia" w:ascii="宋体" w:hAnsi="宋体" w:eastAsia="宋体"/>
        <w:b/>
        <w:bCs/>
        <w:i w:val="0"/>
        <w:iCs w:val="0"/>
        <w:vanish w:val="0"/>
        <w:color w:val="auto"/>
        <w:w w:val="100"/>
        <w:sz w:val="21"/>
        <w:szCs w:val="21"/>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val="0"/>
  <w:bordersDoNotSurroundFooter w:val="0"/>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272241"/>
    <w:rsid w:val="00AA27D4"/>
    <w:rsid w:val="00C54EEA"/>
    <w:rsid w:val="00C835ED"/>
    <w:rsid w:val="010F3DDD"/>
    <w:rsid w:val="011F5BCA"/>
    <w:rsid w:val="012A0041"/>
    <w:rsid w:val="015841B4"/>
    <w:rsid w:val="019E71BD"/>
    <w:rsid w:val="01E00C12"/>
    <w:rsid w:val="02160E34"/>
    <w:rsid w:val="021B6257"/>
    <w:rsid w:val="02407E37"/>
    <w:rsid w:val="03C5417D"/>
    <w:rsid w:val="04360B78"/>
    <w:rsid w:val="04B679C3"/>
    <w:rsid w:val="050801B0"/>
    <w:rsid w:val="0661613A"/>
    <w:rsid w:val="06D36447"/>
    <w:rsid w:val="073950D5"/>
    <w:rsid w:val="080F63D8"/>
    <w:rsid w:val="08E505F2"/>
    <w:rsid w:val="09341458"/>
    <w:rsid w:val="099514A1"/>
    <w:rsid w:val="09FF7F32"/>
    <w:rsid w:val="0A1B1481"/>
    <w:rsid w:val="0AAE6AAB"/>
    <w:rsid w:val="0B0912D7"/>
    <w:rsid w:val="0CE74E21"/>
    <w:rsid w:val="0F040B48"/>
    <w:rsid w:val="0F2C0D68"/>
    <w:rsid w:val="11C934C6"/>
    <w:rsid w:val="11EC625E"/>
    <w:rsid w:val="13462986"/>
    <w:rsid w:val="1447025F"/>
    <w:rsid w:val="14497071"/>
    <w:rsid w:val="14587791"/>
    <w:rsid w:val="15103CF8"/>
    <w:rsid w:val="152206F7"/>
    <w:rsid w:val="152D2DCA"/>
    <w:rsid w:val="1573530D"/>
    <w:rsid w:val="15886EF0"/>
    <w:rsid w:val="15F20827"/>
    <w:rsid w:val="17F16F56"/>
    <w:rsid w:val="18043C49"/>
    <w:rsid w:val="181C76BE"/>
    <w:rsid w:val="18CB4BF2"/>
    <w:rsid w:val="192E664C"/>
    <w:rsid w:val="195436E9"/>
    <w:rsid w:val="19DD1972"/>
    <w:rsid w:val="1A022DD1"/>
    <w:rsid w:val="1A5250C1"/>
    <w:rsid w:val="1B5662F7"/>
    <w:rsid w:val="1B903DB2"/>
    <w:rsid w:val="1BCA18AE"/>
    <w:rsid w:val="1C141F86"/>
    <w:rsid w:val="1C4B037C"/>
    <w:rsid w:val="1DEC284C"/>
    <w:rsid w:val="1E6523AC"/>
    <w:rsid w:val="1F4432CB"/>
    <w:rsid w:val="1F96780D"/>
    <w:rsid w:val="1FE110E4"/>
    <w:rsid w:val="208C3A47"/>
    <w:rsid w:val="2211015F"/>
    <w:rsid w:val="221C31F5"/>
    <w:rsid w:val="22440422"/>
    <w:rsid w:val="22852558"/>
    <w:rsid w:val="23D3570C"/>
    <w:rsid w:val="2431259B"/>
    <w:rsid w:val="24393D5E"/>
    <w:rsid w:val="24542A4B"/>
    <w:rsid w:val="252B18FB"/>
    <w:rsid w:val="25BC0296"/>
    <w:rsid w:val="25F72AEE"/>
    <w:rsid w:val="27160325"/>
    <w:rsid w:val="273A74F0"/>
    <w:rsid w:val="27DE367B"/>
    <w:rsid w:val="282C4413"/>
    <w:rsid w:val="2928532F"/>
    <w:rsid w:val="2A182153"/>
    <w:rsid w:val="2A1C1FC5"/>
    <w:rsid w:val="2A2E7855"/>
    <w:rsid w:val="2A6337A7"/>
    <w:rsid w:val="2B2E72AB"/>
    <w:rsid w:val="2B420351"/>
    <w:rsid w:val="2C2379BF"/>
    <w:rsid w:val="2D5C67E7"/>
    <w:rsid w:val="2F6F1730"/>
    <w:rsid w:val="2FC920C5"/>
    <w:rsid w:val="31690CD8"/>
    <w:rsid w:val="31A15F24"/>
    <w:rsid w:val="31C30C1A"/>
    <w:rsid w:val="32FE6D0F"/>
    <w:rsid w:val="3307777B"/>
    <w:rsid w:val="33B5109B"/>
    <w:rsid w:val="34CA4696"/>
    <w:rsid w:val="361A0BB1"/>
    <w:rsid w:val="36843254"/>
    <w:rsid w:val="36DB46CF"/>
    <w:rsid w:val="395347B5"/>
    <w:rsid w:val="397F3FCC"/>
    <w:rsid w:val="39A232A0"/>
    <w:rsid w:val="39E745AA"/>
    <w:rsid w:val="3AD574BB"/>
    <w:rsid w:val="3B5A6BBB"/>
    <w:rsid w:val="3CC65204"/>
    <w:rsid w:val="3CF84984"/>
    <w:rsid w:val="3D1B7D49"/>
    <w:rsid w:val="3E677953"/>
    <w:rsid w:val="3E840C6A"/>
    <w:rsid w:val="3EDA13A6"/>
    <w:rsid w:val="3F7C3FDA"/>
    <w:rsid w:val="3F9F14DB"/>
    <w:rsid w:val="42522227"/>
    <w:rsid w:val="42F058B7"/>
    <w:rsid w:val="433648BA"/>
    <w:rsid w:val="436109F6"/>
    <w:rsid w:val="4373436C"/>
    <w:rsid w:val="43907DBC"/>
    <w:rsid w:val="43CE2BEC"/>
    <w:rsid w:val="441A38D4"/>
    <w:rsid w:val="453D10EC"/>
    <w:rsid w:val="454A6BC7"/>
    <w:rsid w:val="46634788"/>
    <w:rsid w:val="47D3046F"/>
    <w:rsid w:val="48041351"/>
    <w:rsid w:val="481D74FB"/>
    <w:rsid w:val="488E42C9"/>
    <w:rsid w:val="4A672C72"/>
    <w:rsid w:val="4ABB034A"/>
    <w:rsid w:val="4AF562BD"/>
    <w:rsid w:val="4B9B3A30"/>
    <w:rsid w:val="4BC77339"/>
    <w:rsid w:val="4C164D19"/>
    <w:rsid w:val="4C9236C5"/>
    <w:rsid w:val="4CC53CC9"/>
    <w:rsid w:val="4DB5279C"/>
    <w:rsid w:val="4ECD34CC"/>
    <w:rsid w:val="4ED533A1"/>
    <w:rsid w:val="501C2E48"/>
    <w:rsid w:val="505C172E"/>
    <w:rsid w:val="517B1258"/>
    <w:rsid w:val="5216783C"/>
    <w:rsid w:val="52500439"/>
    <w:rsid w:val="52710CF1"/>
    <w:rsid w:val="52990A6C"/>
    <w:rsid w:val="52C12107"/>
    <w:rsid w:val="52F46F0B"/>
    <w:rsid w:val="534C3A03"/>
    <w:rsid w:val="53877224"/>
    <w:rsid w:val="53C56327"/>
    <w:rsid w:val="53D8014D"/>
    <w:rsid w:val="53E105FA"/>
    <w:rsid w:val="54101A0E"/>
    <w:rsid w:val="54514F6B"/>
    <w:rsid w:val="55A46A98"/>
    <w:rsid w:val="55E064E0"/>
    <w:rsid w:val="56AE1D8C"/>
    <w:rsid w:val="572C6D10"/>
    <w:rsid w:val="57940BED"/>
    <w:rsid w:val="581A015D"/>
    <w:rsid w:val="585B0F82"/>
    <w:rsid w:val="59343DA7"/>
    <w:rsid w:val="59445BC2"/>
    <w:rsid w:val="599F500A"/>
    <w:rsid w:val="5ACC7739"/>
    <w:rsid w:val="5B844050"/>
    <w:rsid w:val="5C184F01"/>
    <w:rsid w:val="5D512D7C"/>
    <w:rsid w:val="5D835179"/>
    <w:rsid w:val="5DC34279"/>
    <w:rsid w:val="5E6E07BC"/>
    <w:rsid w:val="5E773BED"/>
    <w:rsid w:val="5EB6245F"/>
    <w:rsid w:val="5EEF4EDC"/>
    <w:rsid w:val="5FC42B50"/>
    <w:rsid w:val="5FFE4F19"/>
    <w:rsid w:val="6004528C"/>
    <w:rsid w:val="608816D1"/>
    <w:rsid w:val="60E040D9"/>
    <w:rsid w:val="60EF4E7F"/>
    <w:rsid w:val="61455008"/>
    <w:rsid w:val="6174529F"/>
    <w:rsid w:val="62362426"/>
    <w:rsid w:val="6251059A"/>
    <w:rsid w:val="6370472C"/>
    <w:rsid w:val="63733267"/>
    <w:rsid w:val="63FD1752"/>
    <w:rsid w:val="664B3280"/>
    <w:rsid w:val="665233C1"/>
    <w:rsid w:val="670E76AF"/>
    <w:rsid w:val="67451BAE"/>
    <w:rsid w:val="67B24991"/>
    <w:rsid w:val="67C1315A"/>
    <w:rsid w:val="68BC5DA0"/>
    <w:rsid w:val="6AD9688B"/>
    <w:rsid w:val="6BCE72D2"/>
    <w:rsid w:val="6CAC71E4"/>
    <w:rsid w:val="6D0E3F22"/>
    <w:rsid w:val="6D303D08"/>
    <w:rsid w:val="6DBC77E8"/>
    <w:rsid w:val="6E845B51"/>
    <w:rsid w:val="6ED60212"/>
    <w:rsid w:val="6F360F3E"/>
    <w:rsid w:val="6FCF00AA"/>
    <w:rsid w:val="701D6125"/>
    <w:rsid w:val="717C3997"/>
    <w:rsid w:val="72E17E80"/>
    <w:rsid w:val="73825117"/>
    <w:rsid w:val="73C14A57"/>
    <w:rsid w:val="73EB5B88"/>
    <w:rsid w:val="749609C5"/>
    <w:rsid w:val="75423411"/>
    <w:rsid w:val="754B74E1"/>
    <w:rsid w:val="75D30027"/>
    <w:rsid w:val="75DD3F3C"/>
    <w:rsid w:val="768C48B4"/>
    <w:rsid w:val="76CE1AEE"/>
    <w:rsid w:val="77327CAF"/>
    <w:rsid w:val="77357A13"/>
    <w:rsid w:val="783A023D"/>
    <w:rsid w:val="78947BD8"/>
    <w:rsid w:val="7A715070"/>
    <w:rsid w:val="7A901095"/>
    <w:rsid w:val="7BA8267B"/>
    <w:rsid w:val="7C5611AA"/>
    <w:rsid w:val="7C9011D9"/>
    <w:rsid w:val="7CB37580"/>
    <w:rsid w:val="7DC651C5"/>
    <w:rsid w:val="7E207132"/>
    <w:rsid w:val="7F087623"/>
    <w:rsid w:val="7F617B36"/>
    <w:rsid w:val="7FCC2834"/>
    <w:rsid w:val="7FEC474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qFormat="1" w:uiPriority="39" w:semiHidden="0" w:name="toc 3"/>
    <w:lsdException w:qFormat="1" w:uiPriority="39"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3">
    <w:name w:val="heading 1"/>
    <w:next w:val="1"/>
    <w:qFormat/>
    <w:uiPriority w:val="9"/>
    <w:pPr>
      <w:keepNext/>
      <w:keepLines/>
      <w:widowControl w:val="0"/>
      <w:numPr>
        <w:ilvl w:val="0"/>
        <w:numId w:val="1"/>
      </w:numPr>
      <w:spacing w:before="340" w:beforeLines="50" w:after="330" w:afterLines="50" w:line="360" w:lineRule="auto"/>
      <w:ind w:firstLine="40" w:firstLineChars="0"/>
      <w:jc w:val="left"/>
      <w:outlineLvl w:val="0"/>
    </w:pPr>
    <w:rPr>
      <w:rFonts w:ascii="宋体" w:hAnsi="宋体" w:eastAsia="宋体" w:cs="宋体"/>
      <w:b/>
      <w:bCs/>
      <w:kern w:val="44"/>
      <w:sz w:val="28"/>
      <w:szCs w:val="28"/>
      <w:lang w:val="en-US" w:eastAsia="zh-CN" w:bidi="ar-SA"/>
    </w:rPr>
  </w:style>
  <w:style w:type="paragraph" w:styleId="4">
    <w:name w:val="heading 2"/>
    <w:next w:val="1"/>
    <w:unhideWhenUsed/>
    <w:qFormat/>
    <w:uiPriority w:val="9"/>
    <w:pPr>
      <w:keepNext/>
      <w:keepLines/>
      <w:widowControl w:val="0"/>
      <w:numPr>
        <w:ilvl w:val="1"/>
        <w:numId w:val="1"/>
      </w:numPr>
      <w:spacing w:before="260" w:beforeLines="50" w:after="260" w:afterLines="50" w:line="360" w:lineRule="auto"/>
      <w:ind w:firstLine="40" w:firstLineChars="0"/>
      <w:jc w:val="left"/>
      <w:outlineLvl w:val="1"/>
    </w:pPr>
    <w:rPr>
      <w:rFonts w:ascii="宋体" w:hAnsi="宋体" w:eastAsia="宋体" w:cs="宋体"/>
      <w:b/>
      <w:bCs/>
      <w:kern w:val="0"/>
      <w:sz w:val="24"/>
      <w:szCs w:val="24"/>
      <w:lang w:val="en-US" w:eastAsia="zh-CN" w:bidi="ar-SA"/>
    </w:rPr>
  </w:style>
  <w:style w:type="paragraph" w:styleId="5">
    <w:name w:val="heading 3"/>
    <w:next w:val="1"/>
    <w:unhideWhenUsed/>
    <w:qFormat/>
    <w:uiPriority w:val="9"/>
    <w:pPr>
      <w:keepNext/>
      <w:keepLines/>
      <w:widowControl w:val="0"/>
      <w:numPr>
        <w:ilvl w:val="2"/>
        <w:numId w:val="1"/>
      </w:numPr>
      <w:spacing w:before="260" w:beforeLines="50" w:after="260" w:afterLines="50" w:line="360" w:lineRule="auto"/>
      <w:ind w:firstLine="40" w:firstLineChars="0"/>
      <w:jc w:val="left"/>
      <w:outlineLvl w:val="2"/>
    </w:pPr>
    <w:rPr>
      <w:rFonts w:ascii="宋体" w:hAnsi="宋体" w:eastAsia="宋体" w:cs="宋体"/>
      <w:b/>
      <w:bCs/>
      <w:kern w:val="0"/>
      <w:sz w:val="24"/>
      <w:szCs w:val="24"/>
      <w:lang w:val="en-US" w:eastAsia="zh-CN" w:bidi="ar-SA"/>
    </w:rPr>
  </w:style>
  <w:style w:type="paragraph" w:styleId="6">
    <w:name w:val="heading 4"/>
    <w:next w:val="1"/>
    <w:unhideWhenUsed/>
    <w:qFormat/>
    <w:uiPriority w:val="9"/>
    <w:pPr>
      <w:keepNext/>
      <w:keepLines/>
      <w:widowControl w:val="0"/>
      <w:numPr>
        <w:ilvl w:val="3"/>
        <w:numId w:val="1"/>
      </w:numPr>
      <w:spacing w:before="280" w:beforeLines="50" w:after="290" w:afterLines="50" w:line="360" w:lineRule="auto"/>
      <w:ind w:firstLine="40" w:firstLineChars="0"/>
      <w:jc w:val="left"/>
      <w:outlineLvl w:val="3"/>
    </w:pPr>
    <w:rPr>
      <w:rFonts w:ascii="宋体" w:hAnsi="宋体" w:eastAsia="宋体" w:cs="宋体"/>
      <w:b/>
      <w:bCs/>
      <w:kern w:val="0"/>
      <w:sz w:val="21"/>
      <w:szCs w:val="21"/>
      <w:lang w:val="en-US" w:eastAsia="zh-CN" w:bidi="ar-SA"/>
    </w:rPr>
  </w:style>
  <w:style w:type="paragraph" w:styleId="7">
    <w:name w:val="heading 5"/>
    <w:next w:val="1"/>
    <w:unhideWhenUsed/>
    <w:qFormat/>
    <w:uiPriority w:val="9"/>
    <w:pPr>
      <w:keepNext/>
      <w:keepLines/>
      <w:widowControl w:val="0"/>
      <w:numPr>
        <w:ilvl w:val="4"/>
        <w:numId w:val="1"/>
      </w:numPr>
      <w:spacing w:before="280" w:beforeLines="50" w:after="290" w:afterLines="50" w:line="360" w:lineRule="auto"/>
      <w:ind w:firstLine="40" w:firstLineChars="0"/>
      <w:jc w:val="left"/>
      <w:outlineLvl w:val="4"/>
    </w:pPr>
    <w:rPr>
      <w:rFonts w:ascii="宋体" w:hAnsi="宋体" w:eastAsia="宋体" w:cs="宋体"/>
      <w:b/>
      <w:bCs/>
      <w:kern w:val="2"/>
      <w:sz w:val="21"/>
      <w:szCs w:val="21"/>
      <w:lang w:val="en-US" w:eastAsia="zh-CN" w:bidi="ar-SA"/>
    </w:rPr>
  </w:style>
  <w:style w:type="character" w:default="1" w:styleId="16">
    <w:name w:val="Default Paragraph Font"/>
    <w:semiHidden/>
    <w:qFormat/>
    <w:uiPriority w:val="0"/>
  </w:style>
  <w:style w:type="table" w:default="1" w:styleId="17">
    <w:name w:val="Normal Table"/>
    <w:semiHidden/>
    <w:qFormat/>
    <w:uiPriority w:val="0"/>
    <w:tblPr>
      <w:tblLayout w:type="fixed"/>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styleId="8">
    <w:name w:val="annotation text"/>
    <w:basedOn w:val="1"/>
    <w:qFormat/>
    <w:uiPriority w:val="0"/>
    <w:pPr>
      <w:jc w:val="left"/>
    </w:pPr>
  </w:style>
  <w:style w:type="paragraph" w:styleId="9">
    <w:name w:val="Body Text"/>
    <w:unhideWhenUsed/>
    <w:qFormat/>
    <w:uiPriority w:val="99"/>
    <w:pPr>
      <w:widowControl w:val="0"/>
      <w:spacing w:before="43" w:line="360" w:lineRule="auto"/>
      <w:ind w:left="1040" w:firstLine="40" w:firstLineChars="200"/>
      <w:jc w:val="both"/>
    </w:pPr>
    <w:rPr>
      <w:rFonts w:ascii="宋体" w:hAnsi="宋体" w:eastAsia="宋体" w:cs="宋体"/>
      <w:kern w:val="2"/>
      <w:sz w:val="21"/>
      <w:szCs w:val="21"/>
      <w:lang w:val="en-US" w:eastAsia="en-US" w:bidi="en-US"/>
    </w:rPr>
  </w:style>
  <w:style w:type="paragraph" w:styleId="10">
    <w:name w:val="toc 3"/>
    <w:next w:val="1"/>
    <w:unhideWhenUsed/>
    <w:qFormat/>
    <w:uiPriority w:val="39"/>
    <w:pPr>
      <w:widowControl w:val="0"/>
      <w:spacing w:line="360" w:lineRule="auto"/>
      <w:ind w:left="840" w:leftChars="400" w:firstLine="40" w:firstLineChars="200"/>
      <w:jc w:val="both"/>
    </w:pPr>
    <w:rPr>
      <w:rFonts w:ascii="宋体" w:hAnsi="宋体" w:eastAsia="宋体" w:cs="宋体"/>
      <w:kern w:val="2"/>
      <w:sz w:val="21"/>
      <w:szCs w:val="21"/>
      <w:lang w:val="en-US" w:eastAsia="zh-CN" w:bidi="ar-SA"/>
    </w:rPr>
  </w:style>
  <w:style w:type="paragraph" w:styleId="11">
    <w:name w:val="footer"/>
    <w:basedOn w:val="1"/>
    <w:qFormat/>
    <w:uiPriority w:val="0"/>
    <w:pPr>
      <w:tabs>
        <w:tab w:val="center" w:pos="4153"/>
        <w:tab w:val="right" w:pos="8306"/>
      </w:tabs>
      <w:snapToGrid w:val="0"/>
      <w:jc w:val="left"/>
    </w:pPr>
    <w:rPr>
      <w:sz w:val="18"/>
    </w:r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3">
    <w:name w:val="toc 1"/>
    <w:next w:val="1"/>
    <w:unhideWhenUsed/>
    <w:qFormat/>
    <w:uiPriority w:val="39"/>
    <w:pPr>
      <w:widowControl w:val="0"/>
      <w:spacing w:line="360" w:lineRule="auto"/>
      <w:ind w:firstLine="40" w:firstLineChars="200"/>
      <w:jc w:val="both"/>
    </w:pPr>
    <w:rPr>
      <w:rFonts w:ascii="宋体" w:hAnsi="宋体" w:eastAsia="宋体" w:cs="宋体"/>
      <w:kern w:val="2"/>
      <w:sz w:val="21"/>
      <w:szCs w:val="21"/>
      <w:lang w:val="en-US" w:eastAsia="zh-CN" w:bidi="ar-SA"/>
    </w:rPr>
  </w:style>
  <w:style w:type="paragraph" w:styleId="14">
    <w:name w:val="toc 4"/>
    <w:next w:val="1"/>
    <w:unhideWhenUsed/>
    <w:qFormat/>
    <w:uiPriority w:val="39"/>
    <w:pPr>
      <w:widowControl w:val="0"/>
      <w:spacing w:line="360" w:lineRule="auto"/>
      <w:ind w:left="1260" w:leftChars="600" w:firstLine="40" w:firstLineChars="200"/>
      <w:jc w:val="both"/>
    </w:pPr>
    <w:rPr>
      <w:rFonts w:ascii="宋体" w:hAnsi="宋体" w:eastAsia="宋体" w:cs="宋体"/>
      <w:kern w:val="2"/>
      <w:sz w:val="21"/>
      <w:szCs w:val="21"/>
      <w:lang w:val="en-US" w:eastAsia="zh-CN" w:bidi="ar-SA"/>
    </w:rPr>
  </w:style>
  <w:style w:type="paragraph" w:styleId="15">
    <w:name w:val="toc 2"/>
    <w:next w:val="1"/>
    <w:unhideWhenUsed/>
    <w:qFormat/>
    <w:uiPriority w:val="39"/>
    <w:pPr>
      <w:widowControl w:val="0"/>
      <w:spacing w:line="360" w:lineRule="auto"/>
      <w:ind w:left="420" w:leftChars="200" w:firstLine="40" w:firstLineChars="200"/>
      <w:jc w:val="both"/>
    </w:pPr>
    <w:rPr>
      <w:rFonts w:ascii="宋体" w:hAnsi="宋体" w:eastAsia="宋体" w:cs="宋体"/>
      <w:kern w:val="2"/>
      <w:sz w:val="21"/>
      <w:szCs w:val="21"/>
      <w:lang w:val="en-US" w:eastAsia="zh-CN" w:bidi="ar-SA"/>
    </w:rPr>
  </w:style>
  <w:style w:type="paragraph" w:customStyle="1" w:styleId="18">
    <w:name w:val="TOC 标题1"/>
    <w:next w:val="1"/>
    <w:unhideWhenUsed/>
    <w:qFormat/>
    <w:uiPriority w:val="39"/>
    <w:pPr>
      <w:keepNext/>
      <w:keepLines/>
      <w:widowControl/>
      <w:numPr>
        <w:ilvl w:val="0"/>
        <w:numId w:val="0"/>
      </w:numPr>
      <w:spacing w:before="240" w:beforeLines="0" w:after="0" w:afterLines="0" w:line="259" w:lineRule="auto"/>
      <w:ind w:firstLine="40" w:firstLineChars="0"/>
      <w:jc w:val="left"/>
      <w:outlineLvl w:val="9"/>
    </w:pPr>
    <w:rPr>
      <w:rFonts w:ascii="Cambria" w:hAnsi="Cambria" w:eastAsia="宋体" w:cs="Times New Roman"/>
      <w:color w:val="366091"/>
      <w:kern w:val="0"/>
      <w:sz w:val="32"/>
      <w:szCs w:val="32"/>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1</Lines>
  <Paragraphs>1</Paragraphs>
  <TotalTime>11</TotalTime>
  <ScaleCrop>false</ScaleCrop>
  <LinksUpToDate>false</LinksUpToDate>
  <CharactersWithSpaces>0</CharactersWithSpaces>
  <Application>WPS Office_10.8.2.6784_F1E327BC-269C-435d-A152-05C5408002CA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2021-09-09T02:41:00Z</dcterms:created>
  <dc:creator>t</dc:creator>
  <cp:lastModifiedBy>甫春莲</cp:lastModifiedBy>
  <cp:lastPrinted>2021-10-26T03:30:00Z</cp:lastPrinted>
  <dcterms:modified xsi:type="dcterms:W3CDTF">2021-12-23T11:23:12Z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2052-10.8.2.6784</vt:lpwstr>
  </property>
  <property fmtid="{D5CDD505-2E9C-101B-9397-08002B2CF9AE}" pid="3" name="ICV">
    <vt:lpwstr>48C61CB29D3F4D9384F5922CF0F7FFB4</vt:lpwstr>
  </property>
</Properties>
</file>