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880" w:firstLineChars="200"/>
        <w:jc w:val="center"/>
        <w:textAlignment w:val="auto"/>
        <w:rPr>
          <w:rFonts w:hint="eastAsia" w:ascii="宋体" w:hAnsi="宋体" w:eastAsia="宋体" w:cs="宋体"/>
          <w:i w:val="0"/>
          <w:caps w:val="0"/>
          <w:color w:val="333333"/>
          <w:spacing w:val="0"/>
          <w:kern w:val="2"/>
          <w:sz w:val="44"/>
          <w:szCs w:val="44"/>
          <w:shd w:val="clear" w:fill="FFFFFF"/>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880" w:firstLineChars="200"/>
        <w:jc w:val="center"/>
        <w:textAlignment w:val="auto"/>
        <w:rPr>
          <w:rFonts w:hint="eastAsia" w:ascii="宋体" w:hAnsi="宋体" w:eastAsia="宋体" w:cs="宋体"/>
          <w:i w:val="0"/>
          <w:caps w:val="0"/>
          <w:color w:val="333333"/>
          <w:spacing w:val="0"/>
          <w:kern w:val="2"/>
          <w:sz w:val="44"/>
          <w:szCs w:val="44"/>
          <w:shd w:val="clear" w:fill="FFFFFF"/>
          <w:lang w:val="en-US" w:eastAsia="zh-CN" w:bidi="ar-SA"/>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云南省人力资源和社会保障厅  云南省卫生和计划生育委员会关于统一城乡居民基本</w:t>
      </w: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医疗保险定点医疗机构管理的通知</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9"/>
        <w:rPr>
          <w:rFonts w:hint="default" w:ascii="楷体_GB2312" w:hAnsi="楷体_GB2312" w:eastAsia="楷体_GB2312" w:cs="楷体_GB2312"/>
          <w:i w:val="0"/>
          <w:caps w:val="0"/>
          <w:color w:val="333333"/>
          <w:spacing w:val="0"/>
          <w:sz w:val="32"/>
          <w:szCs w:val="32"/>
          <w:shd w:val="clear" w:fill="FFFFFF"/>
          <w:lang w:val="en-US" w:eastAsia="zh-CN"/>
        </w:rPr>
      </w:pPr>
      <w:r>
        <w:rPr>
          <w:rFonts w:hint="default" w:ascii="楷体_GB2312" w:hAnsi="楷体_GB2312" w:eastAsia="楷体_GB2312" w:cs="楷体_GB2312"/>
          <w:i w:val="0"/>
          <w:caps w:val="0"/>
          <w:color w:val="333333"/>
          <w:spacing w:val="0"/>
          <w:sz w:val="32"/>
          <w:szCs w:val="32"/>
          <w:shd w:val="clear" w:fill="FFFFFF"/>
          <w:lang w:val="en-US" w:eastAsia="zh-CN"/>
        </w:rPr>
        <w:t>云人社发〔2016〕308号</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textAlignment w:val="auto"/>
        <w:rPr>
          <w:rFonts w:hint="default" w:ascii="仿宋_GB2312" w:hAnsi="仿宋_GB2312" w:eastAsia="仿宋_GB2312" w:cs="仿宋_GB2312"/>
          <w:i w:val="0"/>
          <w:caps w:val="0"/>
          <w:color w:val="333333"/>
          <w:spacing w:val="0"/>
          <w:kern w:val="2"/>
          <w:sz w:val="32"/>
          <w:szCs w:val="32"/>
          <w:shd w:val="clear" w:fill="FFFFFF"/>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各州（市）人力资源和社会保障局、卫生和计划生育委员会：</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根据《云南省人民政府关于整合城乡居民基本医疗保险制度的实施意见》（云政发〔2016〕72号）、《云南省人力资源和社会保障厅关于完善基本医疗保险定点医药机构协议管理的实施意见》（云人社发〔2016〕39号）和《 云南省卫生和计划生育委员会关于印发云南省新型农村合作医疗定点医疗机构管理办法（2015年修订版）（云卫基层发〔2016〕10号）》，现就统一城乡居民基本医疗保险（以下简称城乡居民医保）定点医疗机构管理的若干问题通知如下：</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一、统一城乡居民医保定点医疗机构范围</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一）按照先纳入、后规范的原则，整合城镇居民医疗保险（以下简称城镇居民医保）和新型农村合作医疗（以下简称新农合）定点医疗机构范围，实行统一的城乡居民医保定点医疗机构，加强管理、控制不合理医疗费上涨，确保城乡居民医保基金安全。</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二）各地要将统筹区内原城镇居民医保或新农合定点医疗机构（在本通知下发之前已经定点或符合条件接受申请的医疗机构）统一纳入城乡居民医保定点医疗机构范围，违反协议管理规定以及欺诈骗取医保基金或新农合基金被取消定点的医疗机构不得纳入定点。</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（三）定点医疗机构应当为参保人员提供合法、合规、合理、安全有效的医疗服务，鼓励将优质医疗服务延伸偏远地区，为城乡居民医保参保人员提供便捷医疗服务。</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（四）医疗机构可向城乡居民医保管理经办机构申请定点，各统筹地按照统一程序办理并将相关信息及时报省级管理经办机构，同时主动向社会公开定点医疗机构情况。</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二、统一定点协议管理</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一）强化定点协议管理。城乡居民医保定点医疗机构实行定点协议管理，简化办理程序；公立医疗机构、民营医疗机构相同准入条件、相同退出机制、相同监督管理、相同审核标准。管理经办机构应按照法律法规、国家和省有关城乡居民医保政策、医疗卫生政策规定与定点医疗机构签订协议。</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二）规范定点准入条件。定点医疗机构应是依法设立的各级各类医疗机构（包括公立医疗机构、非公立医疗机构及其他性质医疗机构），具备为参保人员提供基本医疗服务条件，自愿申请并承诺为城乡居民提供合法合理、安全有效的基本医疗服务，鼓励医养结合机构提供基本医疗服务。对存在医托、发布虚假医疗广告，内部管理混乱被卫生计生行政部门认定存在严重医疗安全隐患或出租、承包科室，以及造成其它不良社会影响的医疗机构不接受定点申报。</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（三）建立定点退出机制。经查实存在违反协议管理、欺诈骗取医疗保险基金或其他违法违规行为的定点医疗机构，暂停或取消其定点。</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四）优化医疗资源配置。各统筹地区定点医疗机构数量要兼顾区域卫生规划，合理配置医疗资源。原则上，统筹地每千参保人占住院床位比低于规划指标的可适当扩大定点范围；高于规划指标的，通过建立退出机制均衡参保规模和定点医疗机构数量。省级管理经办机构根据各统筹地定点医疗机构数量（住院床位数）及各地统筹规模（参保人数），向社会公开各统筹地每千参保人占有定点医疗机构住院床位数。</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三、明确定点监管责任</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城乡居民医保定点医疗机构实行分级定点和分级管理，原则上，各县区经办机构负责本县区的县区级医疗机构、乡镇卫生院、村卫生室、社区卫生服务中心和卫生服务站定点确定、退出和监管；各统筹地区经办机构负责本统筹区内州市级及其他医疗机构定点的确定、退出和监管，指导统筹区内定点管理工作；省级管理经办机构负责省级定点医疗机构的确定、退出和监管，负责省外异地就医定点医疗机构的确定及对全省定点医疗机构的指导和监管。</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明确各级、各部门监管责任，医疗行为监管主要由卫生计生部门负责，医保基金监管主要由城乡居民医保经办机构负责。</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四、强化就医管理</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（一）参保城乡居民按有关政策规定在定点医疗机构范围内选择就医，符合规定的医疗费纳入医保支付；病情危急或其他特殊情况可以在非定点范围就医并及时向医保经办机构备案，医疗费按规定纳入医保支付。</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二）通过实施分级诊疗和双向转诊，构建合理就医秩序。卫生计生部门制定分级诊疗实施办法，实行基层首诊、双向转诊、急慢分治、上下联动，参保人员应当遵守就医秩序、配合分级诊疗双向转诊，城乡居民医保经办机构从基金支付、预算确定等方面同步跟进、配合分级诊疗。</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三）加强就医管理，引导合理医疗。按照不同级别医疗机构提供合理医疗服务，统筹门诊和住院，引导合理医疗。鼓励需要长期治疗的慢性病、特殊疾病在门诊治疗，控制慢性病住院，鼓励符合条件的医疗机构开设日间病房，提供日间治疗和手术，支持开展家庭医生签约服务。</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四）加强药品耗材及诊疗项目管理。全省统一城乡居民医保药品、耗材及诊疗项目范围，各州市县级经办管理机构及定点医疗机构统一执行、不得调整，参保人员在规定范围内的医疗费用纳入医保支付。省级管理机构根据管理需要和基金风险适时调整药品、耗材及诊疗项目范围，国家医保目录调整随之调整。</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突出保基本功能，医保基金支付重点保证主要治疗性用药、控制辅助用药、保证国产医用耗材、控制进口高值耗材、保证慢性病门诊治疗用药、控制慢性病住院用药，按照整治抗生素滥用、辅助用药、临床诊疗规范、用药指南和临床路径的规定提供医疗服务并加强管理。</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五、完善费用审核及支付结算</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一）定点医疗机构通过信息系统为参保人员提供费用即时结报服务。参保人员在定点医疗机构就医，按政策规定支付应由个人承担的费用，其余部分由医保经办机构与定点医院结算，医保经办机构确保合规资金及时拨付。</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（二）定点医疗机构要按照国家和省城乡居民医保相关政策、临床路径、临床诊疗技术规范、用药指南和辅助用药等规定切实控制医疗费用不合理上涨，医保经办机构要按照以上原则加强医疗费审核。</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三）管理经办机构通过完善医保支付方式经充分协商，合理确定医保支付标准，切实降低参保人员医疗负担。定点医疗机构无论是营利性或非营利性，医保支付统一按照物价部门公布的非营利性价格或医保支付标准执行。</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六、本通知自2017年1月1日起执行。各地各部门要按照本通知要求抓好贯彻落实，加强定点医疗机构管理，确保参保人员按政策规定享受医疗待遇，有效控制医保基金风险。在执行过程中有什么问题，请及时向省人力资源社会保障厅和省卫生计生委报告。</w:t>
      </w:r>
    </w:p>
    <w:p>
      <w:pPr>
        <w:pStyle w:val="2"/>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default" w:ascii="仿宋_GB2312" w:hAnsi="仿宋_GB2312" w:eastAsia="仿宋_GB2312" w:cs="仿宋_GB2312"/>
          <w:i w:val="0"/>
          <w:caps w:val="0"/>
          <w:color w:val="333333"/>
          <w:spacing w:val="0"/>
          <w:kern w:val="2"/>
          <w:sz w:val="32"/>
          <w:szCs w:val="32"/>
          <w:shd w:val="clear" w:fill="FFFFFF"/>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default" w:ascii="仿宋_GB2312" w:hAnsi="仿宋_GB2312" w:eastAsia="仿宋_GB2312" w:cs="仿宋_GB2312"/>
          <w:i w:val="0"/>
          <w:caps w:val="0"/>
          <w:color w:val="333333"/>
          <w:spacing w:val="0"/>
          <w:kern w:val="2"/>
          <w:sz w:val="32"/>
          <w:szCs w:val="32"/>
          <w:shd w:val="clear" w:fill="FFFFFF"/>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云南省人力资源和社会保障厅  云南省卫生和计划</w:t>
      </w:r>
      <w:bookmarkStart w:id="0" w:name="_GoBack"/>
      <w:bookmarkEnd w:id="0"/>
      <w:r>
        <w:rPr>
          <w:rFonts w:hint="default" w:ascii="仿宋_GB2312" w:hAnsi="仿宋_GB2312" w:eastAsia="仿宋_GB2312" w:cs="仿宋_GB2312"/>
          <w:i w:val="0"/>
          <w:caps w:val="0"/>
          <w:color w:val="333333"/>
          <w:spacing w:val="0"/>
          <w:kern w:val="2"/>
          <w:sz w:val="32"/>
          <w:szCs w:val="32"/>
          <w:shd w:val="clear" w:fill="FFFFFF"/>
          <w:lang w:val="en-US" w:eastAsia="zh-CN" w:bidi="ar-SA"/>
        </w:rPr>
        <w:t>生育委员会</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5440" w:firstLineChars="1700"/>
        <w:jc w:val="both"/>
        <w:textAlignment w:val="auto"/>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2016年9月29日</w:t>
      </w: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12"/>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云南省医疗保障局发布     </w:t>
    </w:r>
  </w:p>
  <w:p>
    <w:pPr>
      <w:pStyle w:val="12"/>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12"/>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lang w:val="en-US" w:eastAsia="zh-CN"/>
      </w:rPr>
      <w:t>云南省医疗保障局行政规范性文件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19005D"/>
    <w:multiLevelType w:val="multilevel"/>
    <w:tmpl w:val="2819005D"/>
    <w:lvl w:ilvl="0" w:tentative="0">
      <w:start w:val="1"/>
      <w:numFmt w:val="decimal"/>
      <w:pStyle w:val="3"/>
      <w:suff w:val="space"/>
      <w:lvlText w:val="%1"/>
      <w:lvlJc w:val="left"/>
      <w:pPr>
        <w:tabs>
          <w:tab w:val="left" w:pos="420"/>
        </w:tabs>
        <w:ind w:left="0" w:firstLine="0"/>
      </w:pPr>
      <w:rPr>
        <w:rFonts w:hint="eastAsia" w:ascii="宋体" w:hAnsi="宋体" w:eastAsia="宋体"/>
        <w:b/>
        <w:bCs/>
        <w:i w:val="0"/>
        <w:iCs w:val="0"/>
        <w:caps w:val="0"/>
        <w:strike w:val="0"/>
        <w:dstrike w:val="0"/>
        <w:vanish w:val="0"/>
        <w:color w:val="auto"/>
        <w:w w:val="100"/>
        <w:sz w:val="28"/>
        <w:szCs w:val="28"/>
        <w:u w:val="none"/>
        <w:vertAlign w:val="baseline"/>
      </w:rPr>
    </w:lvl>
    <w:lvl w:ilvl="1" w:tentative="0">
      <w:start w:val="1"/>
      <w:numFmt w:val="decimal"/>
      <w:pStyle w:val="4"/>
      <w:suff w:val="space"/>
      <w:lvlText w:val="%1.%2"/>
      <w:lvlJc w:val="left"/>
      <w:pPr>
        <w:tabs>
          <w:tab w:val="left" w:pos="420"/>
        </w:tabs>
        <w:ind w:left="-105" w:firstLine="0"/>
      </w:pPr>
      <w:rPr>
        <w:rFonts w:hint="eastAsia" w:ascii="宋体" w:hAnsi="宋体" w:eastAsia="宋体"/>
        <w:b/>
        <w:bCs/>
        <w:i w:val="0"/>
        <w:iCs w:val="0"/>
        <w:vanish w:val="0"/>
        <w:color w:val="auto"/>
        <w:w w:val="100"/>
        <w:sz w:val="24"/>
        <w:szCs w:val="24"/>
        <w:u w:val="none"/>
      </w:rPr>
    </w:lvl>
    <w:lvl w:ilvl="2" w:tentative="0">
      <w:start w:val="1"/>
      <w:numFmt w:val="decimal"/>
      <w:pStyle w:val="5"/>
      <w:suff w:val="space"/>
      <w:lvlText w:val="%1.%2.%3"/>
      <w:lvlJc w:val="left"/>
      <w:pPr>
        <w:tabs>
          <w:tab w:val="left" w:pos="420"/>
        </w:tabs>
        <w:ind w:left="0" w:firstLine="0"/>
      </w:pPr>
      <w:rPr>
        <w:rFonts w:hint="eastAsia" w:ascii="宋体" w:hAnsi="宋体" w:eastAsia="宋体"/>
        <w:b/>
        <w:bCs/>
        <w:i w:val="0"/>
        <w:iCs w:val="0"/>
        <w:vanish w:val="0"/>
        <w:color w:val="auto"/>
        <w:w w:val="100"/>
        <w:sz w:val="24"/>
        <w:szCs w:val="24"/>
        <w:u w:val="none"/>
      </w:rPr>
    </w:lvl>
    <w:lvl w:ilvl="3" w:tentative="0">
      <w:start w:val="1"/>
      <w:numFmt w:val="decimal"/>
      <w:pStyle w:val="6"/>
      <w:suff w:val="space"/>
      <w:lvlText w:val="%1.%2.%3.%4"/>
      <w:lvlJc w:val="left"/>
      <w:pPr>
        <w:tabs>
          <w:tab w:val="left" w:pos="420"/>
        </w:tabs>
        <w:ind w:left="0" w:firstLine="0"/>
      </w:pPr>
      <w:rPr>
        <w:rFonts w:hint="eastAsia" w:ascii="宋体" w:hAnsi="宋体" w:eastAsia="宋体"/>
        <w:b/>
        <w:bCs/>
        <w:i w:val="0"/>
        <w:iCs w:val="0"/>
        <w:vanish w:val="0"/>
        <w:color w:val="auto"/>
        <w:w w:val="100"/>
        <w:sz w:val="21"/>
        <w:szCs w:val="21"/>
        <w:u w:val="none"/>
      </w:rPr>
    </w:lvl>
    <w:lvl w:ilvl="4" w:tentative="0">
      <w:start w:val="1"/>
      <w:numFmt w:val="decimal"/>
      <w:pStyle w:val="7"/>
      <w:suff w:val="space"/>
      <w:lvlText w:val="%1.%2.%3.%4.%5"/>
      <w:lvlJc w:val="left"/>
      <w:pPr>
        <w:tabs>
          <w:tab w:val="left" w:pos="420"/>
        </w:tabs>
        <w:ind w:left="0" w:firstLine="0"/>
      </w:pPr>
      <w:rPr>
        <w:rFonts w:hint="eastAsia" w:ascii="宋体" w:hAnsi="宋体" w:eastAsia="宋体"/>
        <w:b/>
        <w:bCs/>
        <w:i w:val="0"/>
        <w:iCs w:val="0"/>
        <w:vanish w:val="0"/>
        <w:color w:val="auto"/>
        <w:w w:val="100"/>
        <w:sz w:val="21"/>
        <w:szCs w:val="21"/>
        <w:u w:val="none"/>
      </w:rPr>
    </w:lvl>
    <w:lvl w:ilvl="5" w:tentative="0">
      <w:start w:val="1"/>
      <w:numFmt w:val="decimal"/>
      <w:suff w:val="space"/>
      <w:lvlText w:val="%1.%2.%3.%4.%5.%6"/>
      <w:lvlJc w:val="left"/>
      <w:pPr>
        <w:tabs>
          <w:tab w:val="left" w:pos="420"/>
        </w:tabs>
        <w:ind w:left="0" w:firstLine="0"/>
      </w:pPr>
      <w:rPr>
        <w:rFonts w:hint="eastAsia" w:ascii="宋体" w:hAnsi="宋体" w:eastAsia="宋体"/>
        <w:b/>
        <w:bCs/>
        <w:i w:val="0"/>
        <w:iCs w:val="0"/>
        <w:vanish w:val="0"/>
        <w:color w:val="auto"/>
        <w:w w:val="100"/>
        <w:sz w:val="21"/>
        <w:szCs w:val="21"/>
        <w:u w:val="none"/>
      </w:rPr>
    </w:lvl>
    <w:lvl w:ilvl="6" w:tentative="0">
      <w:start w:val="1"/>
      <w:numFmt w:val="decimal"/>
      <w:suff w:val="space"/>
      <w:lvlText w:val="%1.%2.%3.%4.%5.%6.%7"/>
      <w:lvlJc w:val="left"/>
      <w:pPr>
        <w:tabs>
          <w:tab w:val="left" w:pos="420"/>
        </w:tabs>
        <w:ind w:left="0" w:firstLine="0"/>
      </w:pPr>
      <w:rPr>
        <w:rFonts w:hint="eastAsia" w:ascii="宋体" w:hAnsi="宋体" w:eastAsia="宋体"/>
        <w:b/>
        <w:bCs/>
        <w:i w:val="0"/>
        <w:iCs w:val="0"/>
        <w:vanish w:val="0"/>
        <w:color w:val="auto"/>
        <w:w w:val="100"/>
        <w:sz w:val="21"/>
        <w:szCs w:val="21"/>
        <w:u w:val="none"/>
      </w:rPr>
    </w:lvl>
    <w:lvl w:ilvl="7" w:tentative="0">
      <w:start w:val="1"/>
      <w:numFmt w:val="decimal"/>
      <w:suff w:val="space"/>
      <w:lvlText w:val="%1.%2.%3.%4.%5.%6.%7.%8"/>
      <w:lvlJc w:val="left"/>
      <w:pPr>
        <w:tabs>
          <w:tab w:val="left" w:pos="420"/>
        </w:tabs>
        <w:ind w:left="0" w:firstLine="0"/>
      </w:pPr>
      <w:rPr>
        <w:rFonts w:hint="eastAsia" w:ascii="宋体" w:hAnsi="宋体" w:eastAsia="宋体"/>
        <w:b/>
        <w:bCs/>
        <w:i w:val="0"/>
        <w:iCs w:val="0"/>
        <w:vanish w:val="0"/>
        <w:color w:val="auto"/>
        <w:w w:val="100"/>
        <w:sz w:val="21"/>
        <w:szCs w:val="21"/>
        <w:u w:val="none"/>
      </w:rPr>
    </w:lvl>
    <w:lvl w:ilvl="8" w:tentative="0">
      <w:start w:val="1"/>
      <w:numFmt w:val="decimal"/>
      <w:suff w:val="space"/>
      <w:lvlText w:val="%1.%2.%3.%4.%5.%6.%7.%8.%9"/>
      <w:lvlJc w:val="left"/>
      <w:pPr>
        <w:tabs>
          <w:tab w:val="left" w:pos="420"/>
        </w:tabs>
        <w:ind w:left="0" w:firstLine="0"/>
      </w:pPr>
      <w:rPr>
        <w:rFonts w:hint="eastAsia" w:ascii="宋体" w:hAnsi="宋体" w:eastAsia="宋体"/>
        <w:b/>
        <w:bCs/>
        <w:i w:val="0"/>
        <w:iCs w:val="0"/>
        <w:vanish w:val="0"/>
        <w:color w:val="auto"/>
        <w:w w:val="100"/>
        <w:sz w:val="21"/>
        <w:szCs w:val="21"/>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272241"/>
    <w:rsid w:val="00AA27D4"/>
    <w:rsid w:val="00C54EEA"/>
    <w:rsid w:val="00C835ED"/>
    <w:rsid w:val="010F3DDD"/>
    <w:rsid w:val="011F5BCA"/>
    <w:rsid w:val="015841B4"/>
    <w:rsid w:val="019E71BD"/>
    <w:rsid w:val="01AE6F5A"/>
    <w:rsid w:val="01E00C12"/>
    <w:rsid w:val="02160E34"/>
    <w:rsid w:val="021B6257"/>
    <w:rsid w:val="02407E37"/>
    <w:rsid w:val="03C5417D"/>
    <w:rsid w:val="04360B78"/>
    <w:rsid w:val="04B679C3"/>
    <w:rsid w:val="050801B0"/>
    <w:rsid w:val="0661613A"/>
    <w:rsid w:val="06D36447"/>
    <w:rsid w:val="073950D5"/>
    <w:rsid w:val="080F63D8"/>
    <w:rsid w:val="08E505F2"/>
    <w:rsid w:val="09341458"/>
    <w:rsid w:val="099514A1"/>
    <w:rsid w:val="09FF7F32"/>
    <w:rsid w:val="0A1B1481"/>
    <w:rsid w:val="0AAE6AAB"/>
    <w:rsid w:val="0B0912D7"/>
    <w:rsid w:val="0CE74E21"/>
    <w:rsid w:val="0F040B48"/>
    <w:rsid w:val="0F2C0D68"/>
    <w:rsid w:val="11C934C6"/>
    <w:rsid w:val="11EC625E"/>
    <w:rsid w:val="13462986"/>
    <w:rsid w:val="1447025F"/>
    <w:rsid w:val="14497071"/>
    <w:rsid w:val="14587791"/>
    <w:rsid w:val="15103CF8"/>
    <w:rsid w:val="152206F7"/>
    <w:rsid w:val="152D2DCA"/>
    <w:rsid w:val="1573530D"/>
    <w:rsid w:val="15886EF0"/>
    <w:rsid w:val="15F20827"/>
    <w:rsid w:val="17F16F56"/>
    <w:rsid w:val="18043C49"/>
    <w:rsid w:val="181C76BE"/>
    <w:rsid w:val="18CB4BF2"/>
    <w:rsid w:val="192E664C"/>
    <w:rsid w:val="195436E9"/>
    <w:rsid w:val="19DD1972"/>
    <w:rsid w:val="1A022DD1"/>
    <w:rsid w:val="1A5250C1"/>
    <w:rsid w:val="1B5662F7"/>
    <w:rsid w:val="1B903DB2"/>
    <w:rsid w:val="1BCA18AE"/>
    <w:rsid w:val="1C141F86"/>
    <w:rsid w:val="1C4B037C"/>
    <w:rsid w:val="1DEC284C"/>
    <w:rsid w:val="1E6523AC"/>
    <w:rsid w:val="1F4432CB"/>
    <w:rsid w:val="1F96780D"/>
    <w:rsid w:val="1FE110E4"/>
    <w:rsid w:val="208C3A47"/>
    <w:rsid w:val="2211015F"/>
    <w:rsid w:val="221C31F5"/>
    <w:rsid w:val="22440422"/>
    <w:rsid w:val="22852558"/>
    <w:rsid w:val="23D3570C"/>
    <w:rsid w:val="2431259B"/>
    <w:rsid w:val="24393D5E"/>
    <w:rsid w:val="24542A4B"/>
    <w:rsid w:val="252B18FB"/>
    <w:rsid w:val="25BC0296"/>
    <w:rsid w:val="25F72AEE"/>
    <w:rsid w:val="27160325"/>
    <w:rsid w:val="273A74F0"/>
    <w:rsid w:val="27DE367B"/>
    <w:rsid w:val="282C4413"/>
    <w:rsid w:val="2928532F"/>
    <w:rsid w:val="2A182153"/>
    <w:rsid w:val="2A1C1FC5"/>
    <w:rsid w:val="2A2E7855"/>
    <w:rsid w:val="2B2E72AB"/>
    <w:rsid w:val="2B420351"/>
    <w:rsid w:val="2C2379BF"/>
    <w:rsid w:val="2D5C67E7"/>
    <w:rsid w:val="2F6F1730"/>
    <w:rsid w:val="2FC920C5"/>
    <w:rsid w:val="31690CD8"/>
    <w:rsid w:val="31A15F24"/>
    <w:rsid w:val="31C30C1A"/>
    <w:rsid w:val="32FE6D0F"/>
    <w:rsid w:val="3307777B"/>
    <w:rsid w:val="33B5109B"/>
    <w:rsid w:val="34CA4696"/>
    <w:rsid w:val="361A0BB1"/>
    <w:rsid w:val="36843254"/>
    <w:rsid w:val="36DB46CF"/>
    <w:rsid w:val="395347B5"/>
    <w:rsid w:val="397F3FCC"/>
    <w:rsid w:val="39A232A0"/>
    <w:rsid w:val="39E745AA"/>
    <w:rsid w:val="3AD574BB"/>
    <w:rsid w:val="3B5A6BBB"/>
    <w:rsid w:val="3CC65204"/>
    <w:rsid w:val="3CF84984"/>
    <w:rsid w:val="3D1B7D49"/>
    <w:rsid w:val="3E677953"/>
    <w:rsid w:val="3E840C6A"/>
    <w:rsid w:val="3EDA13A6"/>
    <w:rsid w:val="3F7C3FDA"/>
    <w:rsid w:val="3F9F14DB"/>
    <w:rsid w:val="42522227"/>
    <w:rsid w:val="42F058B7"/>
    <w:rsid w:val="433648BA"/>
    <w:rsid w:val="436109F6"/>
    <w:rsid w:val="4373436C"/>
    <w:rsid w:val="43907DBC"/>
    <w:rsid w:val="43CE2BEC"/>
    <w:rsid w:val="441A38D4"/>
    <w:rsid w:val="453D10EC"/>
    <w:rsid w:val="46634788"/>
    <w:rsid w:val="47D3046F"/>
    <w:rsid w:val="48041351"/>
    <w:rsid w:val="481D74FB"/>
    <w:rsid w:val="488E42C9"/>
    <w:rsid w:val="4A672C72"/>
    <w:rsid w:val="4ABB034A"/>
    <w:rsid w:val="4AF562BD"/>
    <w:rsid w:val="4B9B3A30"/>
    <w:rsid w:val="4BC77339"/>
    <w:rsid w:val="4C164D19"/>
    <w:rsid w:val="4C9236C5"/>
    <w:rsid w:val="4CC53CC9"/>
    <w:rsid w:val="4DB5279C"/>
    <w:rsid w:val="4E1E12E3"/>
    <w:rsid w:val="4ECD34CC"/>
    <w:rsid w:val="4ED533A1"/>
    <w:rsid w:val="501C2E48"/>
    <w:rsid w:val="505C172E"/>
    <w:rsid w:val="517B1258"/>
    <w:rsid w:val="5216783C"/>
    <w:rsid w:val="52500439"/>
    <w:rsid w:val="52710CF1"/>
    <w:rsid w:val="52990A6C"/>
    <w:rsid w:val="52C12107"/>
    <w:rsid w:val="52F46F0B"/>
    <w:rsid w:val="534C3A03"/>
    <w:rsid w:val="53877224"/>
    <w:rsid w:val="53C56327"/>
    <w:rsid w:val="53D8014D"/>
    <w:rsid w:val="53E105FA"/>
    <w:rsid w:val="54101A0E"/>
    <w:rsid w:val="54514F6B"/>
    <w:rsid w:val="55E064E0"/>
    <w:rsid w:val="56AE1D8C"/>
    <w:rsid w:val="572C6D10"/>
    <w:rsid w:val="57940BED"/>
    <w:rsid w:val="581A015D"/>
    <w:rsid w:val="583A4DC5"/>
    <w:rsid w:val="585B0F82"/>
    <w:rsid w:val="59343DA7"/>
    <w:rsid w:val="59445BC2"/>
    <w:rsid w:val="599F500A"/>
    <w:rsid w:val="5ACC7739"/>
    <w:rsid w:val="5B844050"/>
    <w:rsid w:val="5C184F01"/>
    <w:rsid w:val="5D512D7C"/>
    <w:rsid w:val="5D835179"/>
    <w:rsid w:val="5DC34279"/>
    <w:rsid w:val="5E6E07BC"/>
    <w:rsid w:val="5E773BED"/>
    <w:rsid w:val="5EB6245F"/>
    <w:rsid w:val="5FC42B50"/>
    <w:rsid w:val="5FFE4F19"/>
    <w:rsid w:val="6004528C"/>
    <w:rsid w:val="608816D1"/>
    <w:rsid w:val="60EF4E7F"/>
    <w:rsid w:val="61455008"/>
    <w:rsid w:val="6174529F"/>
    <w:rsid w:val="62362426"/>
    <w:rsid w:val="6251059A"/>
    <w:rsid w:val="6370472C"/>
    <w:rsid w:val="63733267"/>
    <w:rsid w:val="63FD1752"/>
    <w:rsid w:val="664B3280"/>
    <w:rsid w:val="665233C1"/>
    <w:rsid w:val="670E76AF"/>
    <w:rsid w:val="67451BAE"/>
    <w:rsid w:val="67B24991"/>
    <w:rsid w:val="67C1315A"/>
    <w:rsid w:val="68BC5DA0"/>
    <w:rsid w:val="69A571BA"/>
    <w:rsid w:val="6AD9688B"/>
    <w:rsid w:val="6BCE72D2"/>
    <w:rsid w:val="6CAC71E4"/>
    <w:rsid w:val="6D0E3F22"/>
    <w:rsid w:val="6D303D08"/>
    <w:rsid w:val="6DBC77E8"/>
    <w:rsid w:val="6E845B51"/>
    <w:rsid w:val="6ED60212"/>
    <w:rsid w:val="6F360F3E"/>
    <w:rsid w:val="6FCF00AA"/>
    <w:rsid w:val="701D6125"/>
    <w:rsid w:val="717C3997"/>
    <w:rsid w:val="72E17E80"/>
    <w:rsid w:val="73C14A57"/>
    <w:rsid w:val="73EB5B88"/>
    <w:rsid w:val="749609C5"/>
    <w:rsid w:val="75423411"/>
    <w:rsid w:val="754B74E1"/>
    <w:rsid w:val="75D30027"/>
    <w:rsid w:val="75DD3F3C"/>
    <w:rsid w:val="768C48B4"/>
    <w:rsid w:val="76CE1AEE"/>
    <w:rsid w:val="77327CAF"/>
    <w:rsid w:val="77357A13"/>
    <w:rsid w:val="783A023D"/>
    <w:rsid w:val="78947BD8"/>
    <w:rsid w:val="7A715070"/>
    <w:rsid w:val="7A901095"/>
    <w:rsid w:val="7BA8267B"/>
    <w:rsid w:val="7C5611AA"/>
    <w:rsid w:val="7C9011D9"/>
    <w:rsid w:val="7CB37580"/>
    <w:rsid w:val="7CB86D7F"/>
    <w:rsid w:val="7DC651C5"/>
    <w:rsid w:val="7E207132"/>
    <w:rsid w:val="7F087623"/>
    <w:rsid w:val="7F617B36"/>
    <w:rsid w:val="7FCC2834"/>
    <w:rsid w:val="7FEC474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next w:val="1"/>
    <w:qFormat/>
    <w:uiPriority w:val="9"/>
    <w:pPr>
      <w:keepNext/>
      <w:keepLines/>
      <w:widowControl w:val="0"/>
      <w:numPr>
        <w:ilvl w:val="0"/>
        <w:numId w:val="1"/>
      </w:numPr>
      <w:spacing w:before="340" w:beforeLines="50" w:after="330" w:afterLines="50" w:line="360" w:lineRule="auto"/>
      <w:ind w:firstLine="40" w:firstLineChars="0"/>
      <w:jc w:val="left"/>
      <w:outlineLvl w:val="0"/>
    </w:pPr>
    <w:rPr>
      <w:rFonts w:ascii="宋体" w:hAnsi="宋体" w:eastAsia="宋体" w:cs="宋体"/>
      <w:b/>
      <w:bCs/>
      <w:kern w:val="44"/>
      <w:sz w:val="28"/>
      <w:szCs w:val="28"/>
      <w:lang w:val="en-US" w:eastAsia="zh-CN" w:bidi="ar-SA"/>
    </w:rPr>
  </w:style>
  <w:style w:type="paragraph" w:styleId="4">
    <w:name w:val="heading 2"/>
    <w:next w:val="1"/>
    <w:unhideWhenUsed/>
    <w:qFormat/>
    <w:uiPriority w:val="9"/>
    <w:pPr>
      <w:keepNext/>
      <w:keepLines/>
      <w:widowControl w:val="0"/>
      <w:numPr>
        <w:ilvl w:val="1"/>
        <w:numId w:val="1"/>
      </w:numPr>
      <w:spacing w:before="260" w:beforeLines="50" w:after="260" w:afterLines="50" w:line="360" w:lineRule="auto"/>
      <w:ind w:firstLine="40" w:firstLineChars="0"/>
      <w:jc w:val="left"/>
      <w:outlineLvl w:val="1"/>
    </w:pPr>
    <w:rPr>
      <w:rFonts w:ascii="宋体" w:hAnsi="宋体" w:eastAsia="宋体" w:cs="宋体"/>
      <w:b/>
      <w:bCs/>
      <w:kern w:val="0"/>
      <w:sz w:val="24"/>
      <w:szCs w:val="24"/>
      <w:lang w:val="en-US" w:eastAsia="zh-CN" w:bidi="ar-SA"/>
    </w:rPr>
  </w:style>
  <w:style w:type="paragraph" w:styleId="5">
    <w:name w:val="heading 3"/>
    <w:next w:val="1"/>
    <w:unhideWhenUsed/>
    <w:qFormat/>
    <w:uiPriority w:val="9"/>
    <w:pPr>
      <w:keepNext/>
      <w:keepLines/>
      <w:widowControl w:val="0"/>
      <w:numPr>
        <w:ilvl w:val="2"/>
        <w:numId w:val="1"/>
      </w:numPr>
      <w:spacing w:before="260" w:beforeLines="50" w:after="260" w:afterLines="50" w:line="360" w:lineRule="auto"/>
      <w:ind w:firstLine="40" w:firstLineChars="0"/>
      <w:jc w:val="left"/>
      <w:outlineLvl w:val="2"/>
    </w:pPr>
    <w:rPr>
      <w:rFonts w:ascii="宋体" w:hAnsi="宋体" w:eastAsia="宋体" w:cs="宋体"/>
      <w:b/>
      <w:bCs/>
      <w:kern w:val="0"/>
      <w:sz w:val="24"/>
      <w:szCs w:val="24"/>
      <w:lang w:val="en-US" w:eastAsia="zh-CN" w:bidi="ar-SA"/>
    </w:rPr>
  </w:style>
  <w:style w:type="paragraph" w:styleId="6">
    <w:name w:val="heading 4"/>
    <w:next w:val="1"/>
    <w:unhideWhenUsed/>
    <w:qFormat/>
    <w:uiPriority w:val="9"/>
    <w:pPr>
      <w:keepNext/>
      <w:keepLines/>
      <w:widowControl w:val="0"/>
      <w:numPr>
        <w:ilvl w:val="3"/>
        <w:numId w:val="1"/>
      </w:numPr>
      <w:spacing w:before="280" w:beforeLines="50" w:after="290" w:afterLines="50" w:line="360" w:lineRule="auto"/>
      <w:ind w:firstLine="40" w:firstLineChars="0"/>
      <w:jc w:val="left"/>
      <w:outlineLvl w:val="3"/>
    </w:pPr>
    <w:rPr>
      <w:rFonts w:ascii="宋体" w:hAnsi="宋体" w:eastAsia="宋体" w:cs="宋体"/>
      <w:b/>
      <w:bCs/>
      <w:kern w:val="0"/>
      <w:sz w:val="21"/>
      <w:szCs w:val="21"/>
      <w:lang w:val="en-US" w:eastAsia="zh-CN" w:bidi="ar-SA"/>
    </w:rPr>
  </w:style>
  <w:style w:type="paragraph" w:styleId="7">
    <w:name w:val="heading 5"/>
    <w:next w:val="1"/>
    <w:unhideWhenUsed/>
    <w:qFormat/>
    <w:uiPriority w:val="9"/>
    <w:pPr>
      <w:keepNext/>
      <w:keepLines/>
      <w:widowControl w:val="0"/>
      <w:numPr>
        <w:ilvl w:val="4"/>
        <w:numId w:val="1"/>
      </w:numPr>
      <w:spacing w:before="280" w:beforeLines="50" w:after="290" w:afterLines="50" w:line="360" w:lineRule="auto"/>
      <w:ind w:firstLine="40" w:firstLineChars="0"/>
      <w:jc w:val="left"/>
      <w:outlineLvl w:val="4"/>
    </w:pPr>
    <w:rPr>
      <w:rFonts w:ascii="宋体" w:hAnsi="宋体" w:eastAsia="宋体" w:cs="宋体"/>
      <w:b/>
      <w:bCs/>
      <w:kern w:val="2"/>
      <w:sz w:val="21"/>
      <w:szCs w:val="21"/>
      <w:lang w:val="en-US" w:eastAsia="zh-CN" w:bidi="ar-SA"/>
    </w:rPr>
  </w:style>
  <w:style w:type="character" w:default="1" w:styleId="16">
    <w:name w:val="Default Paragraph Font"/>
    <w:semiHidden/>
    <w:qFormat/>
    <w:uiPriority w:val="0"/>
  </w:style>
  <w:style w:type="table" w:default="1" w:styleId="17">
    <w:name w:val="Normal Table"/>
    <w:semiHidden/>
    <w:qFormat/>
    <w:uiPriority w:val="0"/>
    <w:tblPr>
      <w:tblLayout w:type="fixed"/>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8">
    <w:name w:val="annotation text"/>
    <w:basedOn w:val="1"/>
    <w:qFormat/>
    <w:uiPriority w:val="0"/>
    <w:pPr>
      <w:jc w:val="left"/>
    </w:pPr>
  </w:style>
  <w:style w:type="paragraph" w:styleId="9">
    <w:name w:val="Body Text"/>
    <w:unhideWhenUsed/>
    <w:qFormat/>
    <w:uiPriority w:val="99"/>
    <w:pPr>
      <w:widowControl w:val="0"/>
      <w:spacing w:before="43" w:line="360" w:lineRule="auto"/>
      <w:ind w:left="1040" w:firstLine="40" w:firstLineChars="200"/>
      <w:jc w:val="both"/>
    </w:pPr>
    <w:rPr>
      <w:rFonts w:ascii="宋体" w:hAnsi="宋体" w:eastAsia="宋体" w:cs="宋体"/>
      <w:kern w:val="2"/>
      <w:sz w:val="21"/>
      <w:szCs w:val="21"/>
      <w:lang w:val="en-US" w:eastAsia="en-US" w:bidi="en-US"/>
    </w:rPr>
  </w:style>
  <w:style w:type="paragraph" w:styleId="10">
    <w:name w:val="toc 3"/>
    <w:next w:val="1"/>
    <w:unhideWhenUsed/>
    <w:qFormat/>
    <w:uiPriority w:val="39"/>
    <w:pPr>
      <w:widowControl w:val="0"/>
      <w:spacing w:line="360" w:lineRule="auto"/>
      <w:ind w:left="840" w:leftChars="400" w:firstLine="40" w:firstLineChars="200"/>
      <w:jc w:val="both"/>
    </w:pPr>
    <w:rPr>
      <w:rFonts w:ascii="宋体" w:hAnsi="宋体" w:eastAsia="宋体" w:cs="宋体"/>
      <w:kern w:val="2"/>
      <w:sz w:val="21"/>
      <w:szCs w:val="21"/>
      <w:lang w:val="en-US" w:eastAsia="zh-CN" w:bidi="ar-SA"/>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next w:val="1"/>
    <w:unhideWhenUsed/>
    <w:qFormat/>
    <w:uiPriority w:val="39"/>
    <w:pPr>
      <w:widowControl w:val="0"/>
      <w:spacing w:line="360" w:lineRule="auto"/>
      <w:ind w:firstLine="40" w:firstLineChars="200"/>
      <w:jc w:val="both"/>
    </w:pPr>
    <w:rPr>
      <w:rFonts w:ascii="宋体" w:hAnsi="宋体" w:eastAsia="宋体" w:cs="宋体"/>
      <w:kern w:val="2"/>
      <w:sz w:val="21"/>
      <w:szCs w:val="21"/>
      <w:lang w:val="en-US" w:eastAsia="zh-CN" w:bidi="ar-SA"/>
    </w:rPr>
  </w:style>
  <w:style w:type="paragraph" w:styleId="14">
    <w:name w:val="toc 4"/>
    <w:next w:val="1"/>
    <w:unhideWhenUsed/>
    <w:qFormat/>
    <w:uiPriority w:val="39"/>
    <w:pPr>
      <w:widowControl w:val="0"/>
      <w:spacing w:line="360" w:lineRule="auto"/>
      <w:ind w:left="1260" w:leftChars="600" w:firstLine="40" w:firstLineChars="200"/>
      <w:jc w:val="both"/>
    </w:pPr>
    <w:rPr>
      <w:rFonts w:ascii="宋体" w:hAnsi="宋体" w:eastAsia="宋体" w:cs="宋体"/>
      <w:kern w:val="2"/>
      <w:sz w:val="21"/>
      <w:szCs w:val="21"/>
      <w:lang w:val="en-US" w:eastAsia="zh-CN" w:bidi="ar-SA"/>
    </w:rPr>
  </w:style>
  <w:style w:type="paragraph" w:styleId="15">
    <w:name w:val="toc 2"/>
    <w:next w:val="1"/>
    <w:unhideWhenUsed/>
    <w:qFormat/>
    <w:uiPriority w:val="39"/>
    <w:pPr>
      <w:widowControl w:val="0"/>
      <w:spacing w:line="360" w:lineRule="auto"/>
      <w:ind w:left="420" w:leftChars="200" w:firstLine="40" w:firstLineChars="200"/>
      <w:jc w:val="both"/>
    </w:pPr>
    <w:rPr>
      <w:rFonts w:ascii="宋体" w:hAnsi="宋体" w:eastAsia="宋体" w:cs="宋体"/>
      <w:kern w:val="2"/>
      <w:sz w:val="21"/>
      <w:szCs w:val="21"/>
      <w:lang w:val="en-US" w:eastAsia="zh-CN" w:bidi="ar-SA"/>
    </w:rPr>
  </w:style>
  <w:style w:type="paragraph" w:customStyle="1" w:styleId="18">
    <w:name w:val="TOC 标题1"/>
    <w:next w:val="1"/>
    <w:unhideWhenUsed/>
    <w:qFormat/>
    <w:uiPriority w:val="39"/>
    <w:pPr>
      <w:keepNext/>
      <w:keepLines/>
      <w:widowControl/>
      <w:numPr>
        <w:ilvl w:val="0"/>
        <w:numId w:val="0"/>
      </w:numPr>
      <w:spacing w:before="240" w:beforeLines="0" w:after="0" w:afterLines="0" w:line="259" w:lineRule="auto"/>
      <w:ind w:firstLine="40" w:firstLineChars="0"/>
      <w:jc w:val="left"/>
      <w:outlineLvl w:val="9"/>
    </w:pPr>
    <w:rPr>
      <w:rFonts w:ascii="Cambria" w:hAnsi="Cambria" w:eastAsia="宋体" w:cs="Times New Roman"/>
      <w:color w:val="366091"/>
      <w:kern w:val="0"/>
      <w:sz w:val="32"/>
      <w:szCs w:val="3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4</TotalTime>
  <ScaleCrop>false</ScaleCrop>
  <LinksUpToDate>false</LinksUpToDate>
  <CharactersWithSpaces>0</CharactersWithSpaces>
  <Application>WPS Office_10.8.2.6784_F1E327BC-269C-435d-A152-05C5408002CA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甫春莲</cp:lastModifiedBy>
  <cp:lastPrinted>2021-10-26T03:30:00Z</cp:lastPrinted>
  <dcterms:modified xsi:type="dcterms:W3CDTF">2021-12-23T11:22:24Z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y fmtid="{D5CDD505-2E9C-101B-9397-08002B2CF9AE}" pid="3" name="ICV">
    <vt:lpwstr>48C61CB29D3F4D9384F5922CF0F7FFB4</vt:lpwstr>
  </property>
</Properties>
</file>